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6033" w14:textId="77777777" w:rsidR="004C04D9" w:rsidRDefault="004C04D9" w:rsidP="004C04D9">
      <w:pPr>
        <w:jc w:val="center"/>
        <w:rPr>
          <w:rFonts w:ascii="Times New Roman" w:hAnsi="Times New Roman"/>
          <w:bCs/>
          <w:sz w:val="24"/>
        </w:rPr>
      </w:pPr>
    </w:p>
    <w:p w14:paraId="00BF445F" w14:textId="77777777" w:rsidR="004C04D9" w:rsidRDefault="004C04D9" w:rsidP="004C04D9">
      <w:pPr>
        <w:jc w:val="center"/>
        <w:rPr>
          <w:rFonts w:ascii="Times New Roman" w:hAnsi="Times New Roman"/>
          <w:bCs/>
          <w:sz w:val="24"/>
        </w:rPr>
      </w:pPr>
    </w:p>
    <w:p w14:paraId="44AE9AB2" w14:textId="77777777" w:rsidR="004C04D9" w:rsidRDefault="004C04D9" w:rsidP="004C04D9">
      <w:pPr>
        <w:jc w:val="center"/>
        <w:rPr>
          <w:rFonts w:ascii="Times New Roman" w:hAnsi="Times New Roman"/>
          <w:bCs/>
          <w:sz w:val="24"/>
        </w:rPr>
      </w:pPr>
    </w:p>
    <w:p w14:paraId="7971829E" w14:textId="77777777" w:rsidR="004C04D9" w:rsidRDefault="004C04D9" w:rsidP="004C04D9">
      <w:pPr>
        <w:jc w:val="center"/>
        <w:rPr>
          <w:rFonts w:ascii="Times New Roman" w:hAnsi="Times New Roman"/>
          <w:bCs/>
          <w:sz w:val="24"/>
        </w:rPr>
      </w:pPr>
    </w:p>
    <w:p w14:paraId="095F3055" w14:textId="77777777" w:rsidR="00A969D8" w:rsidRDefault="00A969D8" w:rsidP="004C04D9">
      <w:pPr>
        <w:jc w:val="center"/>
        <w:rPr>
          <w:rFonts w:ascii="Times New Roman" w:hAnsi="Times New Roman"/>
          <w:bCs/>
          <w:sz w:val="24"/>
        </w:rPr>
      </w:pPr>
    </w:p>
    <w:p w14:paraId="23CDD9FD" w14:textId="77777777" w:rsidR="00A969D8" w:rsidRDefault="00A969D8" w:rsidP="004C04D9">
      <w:pPr>
        <w:jc w:val="center"/>
        <w:rPr>
          <w:rFonts w:ascii="Times New Roman" w:hAnsi="Times New Roman"/>
          <w:bCs/>
          <w:sz w:val="24"/>
        </w:rPr>
      </w:pPr>
    </w:p>
    <w:p w14:paraId="2B308E1A" w14:textId="77777777" w:rsidR="00A969D8" w:rsidRDefault="00A969D8" w:rsidP="004C04D9">
      <w:pPr>
        <w:jc w:val="center"/>
        <w:rPr>
          <w:rFonts w:ascii="Times New Roman" w:hAnsi="Times New Roman"/>
          <w:bCs/>
          <w:sz w:val="24"/>
        </w:rPr>
      </w:pPr>
    </w:p>
    <w:p w14:paraId="00C845D1" w14:textId="77777777" w:rsidR="00A969D8" w:rsidRDefault="00A969D8" w:rsidP="004C04D9">
      <w:pPr>
        <w:jc w:val="center"/>
        <w:rPr>
          <w:rFonts w:ascii="Times New Roman" w:hAnsi="Times New Roman"/>
          <w:bCs/>
          <w:sz w:val="24"/>
        </w:rPr>
      </w:pPr>
    </w:p>
    <w:p w14:paraId="46EDDB23" w14:textId="77777777" w:rsidR="00A969D8" w:rsidRDefault="004C04D9" w:rsidP="004C04D9">
      <w:pPr>
        <w:jc w:val="center"/>
        <w:rPr>
          <w:rFonts w:ascii="Times New Roman" w:hAnsi="Times New Roman"/>
          <w:b/>
          <w:bCs/>
          <w:sz w:val="28"/>
          <w:szCs w:val="28"/>
        </w:rPr>
      </w:pPr>
      <w:r w:rsidRPr="00D02271">
        <w:rPr>
          <w:rFonts w:ascii="Times New Roman" w:hAnsi="Times New Roman"/>
          <w:b/>
          <w:bCs/>
          <w:sz w:val="28"/>
          <w:szCs w:val="28"/>
        </w:rPr>
        <w:t xml:space="preserve">Evaluating Equity in the Provision of </w:t>
      </w:r>
    </w:p>
    <w:p w14:paraId="2503C9CA" w14:textId="2DFCB8F0" w:rsidR="004C04D9" w:rsidRPr="00D02271" w:rsidRDefault="004C04D9" w:rsidP="004C04D9">
      <w:pPr>
        <w:jc w:val="center"/>
        <w:rPr>
          <w:rFonts w:ascii="Times New Roman" w:hAnsi="Times New Roman"/>
          <w:b/>
          <w:bCs/>
          <w:sz w:val="28"/>
          <w:szCs w:val="28"/>
        </w:rPr>
      </w:pPr>
      <w:r w:rsidRPr="00D02271">
        <w:rPr>
          <w:rFonts w:ascii="Times New Roman" w:hAnsi="Times New Roman"/>
          <w:b/>
          <w:bCs/>
          <w:sz w:val="28"/>
          <w:szCs w:val="28"/>
        </w:rPr>
        <w:t>Primary Health Care in Tanzania</w:t>
      </w:r>
    </w:p>
    <w:p w14:paraId="55C52C50" w14:textId="77777777" w:rsidR="004C04D9" w:rsidRDefault="004C04D9" w:rsidP="004C04D9">
      <w:pPr>
        <w:rPr>
          <w:rFonts w:ascii="Times New Roman" w:hAnsi="Times New Roman"/>
          <w:bCs/>
          <w:sz w:val="24"/>
        </w:rPr>
      </w:pPr>
    </w:p>
    <w:p w14:paraId="4E44DF70" w14:textId="77777777" w:rsidR="004C04D9" w:rsidRDefault="004C04D9" w:rsidP="004C04D9">
      <w:pPr>
        <w:jc w:val="center"/>
        <w:rPr>
          <w:rFonts w:ascii="Times New Roman" w:hAnsi="Times New Roman"/>
          <w:bCs/>
          <w:sz w:val="24"/>
        </w:rPr>
      </w:pPr>
    </w:p>
    <w:p w14:paraId="433CAFCB" w14:textId="77777777" w:rsidR="004C04D9" w:rsidRDefault="004C04D9" w:rsidP="004C04D9">
      <w:pPr>
        <w:jc w:val="center"/>
        <w:rPr>
          <w:rFonts w:ascii="Times New Roman" w:hAnsi="Times New Roman"/>
          <w:bCs/>
          <w:sz w:val="24"/>
        </w:rPr>
      </w:pPr>
    </w:p>
    <w:p w14:paraId="785417E8" w14:textId="534FA641" w:rsidR="004C04D9" w:rsidRDefault="004C04D9" w:rsidP="00A969D8">
      <w:pPr>
        <w:jc w:val="center"/>
        <w:rPr>
          <w:rFonts w:ascii="Times New Roman" w:hAnsi="Times New Roman"/>
          <w:bCs/>
          <w:sz w:val="24"/>
        </w:rPr>
      </w:pPr>
      <w:r>
        <w:rPr>
          <w:rFonts w:ascii="Times New Roman" w:hAnsi="Times New Roman"/>
          <w:bCs/>
          <w:sz w:val="24"/>
        </w:rPr>
        <w:t>by</w:t>
      </w:r>
    </w:p>
    <w:p w14:paraId="4B5EC0B0" w14:textId="0F5BA7CD" w:rsidR="004C04D9" w:rsidRDefault="004C04D9" w:rsidP="004C04D9">
      <w:pPr>
        <w:jc w:val="center"/>
        <w:rPr>
          <w:rFonts w:ascii="Times New Roman" w:hAnsi="Times New Roman"/>
          <w:bCs/>
          <w:sz w:val="24"/>
        </w:rPr>
      </w:pPr>
      <w:r>
        <w:rPr>
          <w:rFonts w:ascii="Times New Roman" w:hAnsi="Times New Roman"/>
          <w:bCs/>
          <w:sz w:val="24"/>
        </w:rPr>
        <w:t>Breannon E. Babbel</w:t>
      </w:r>
    </w:p>
    <w:p w14:paraId="2A6FCB34" w14:textId="77777777" w:rsidR="004C04D9" w:rsidRDefault="004C04D9" w:rsidP="004C04D9">
      <w:pPr>
        <w:jc w:val="center"/>
        <w:rPr>
          <w:rFonts w:ascii="Times New Roman" w:hAnsi="Times New Roman"/>
          <w:bCs/>
          <w:sz w:val="24"/>
        </w:rPr>
      </w:pPr>
    </w:p>
    <w:p w14:paraId="1DD3428A" w14:textId="77777777" w:rsidR="004C04D9" w:rsidRDefault="004C04D9" w:rsidP="004C04D9">
      <w:pPr>
        <w:jc w:val="center"/>
        <w:rPr>
          <w:rFonts w:ascii="Times New Roman" w:hAnsi="Times New Roman"/>
          <w:bCs/>
          <w:sz w:val="24"/>
        </w:rPr>
      </w:pPr>
    </w:p>
    <w:p w14:paraId="4CAC67E5" w14:textId="77777777" w:rsidR="004C04D9" w:rsidRDefault="004C04D9" w:rsidP="004C04D9">
      <w:pPr>
        <w:jc w:val="center"/>
        <w:rPr>
          <w:rFonts w:ascii="Times New Roman" w:hAnsi="Times New Roman"/>
          <w:bCs/>
          <w:sz w:val="24"/>
        </w:rPr>
      </w:pPr>
    </w:p>
    <w:p w14:paraId="0D1AAC23" w14:textId="6B9446E6" w:rsidR="004C04D9" w:rsidRDefault="004C04D9" w:rsidP="004C04D9">
      <w:pPr>
        <w:jc w:val="center"/>
        <w:rPr>
          <w:rFonts w:ascii="Times New Roman" w:hAnsi="Times New Roman"/>
          <w:bCs/>
          <w:sz w:val="24"/>
        </w:rPr>
      </w:pPr>
      <w:r>
        <w:rPr>
          <w:rFonts w:ascii="Times New Roman" w:hAnsi="Times New Roman"/>
          <w:bCs/>
          <w:sz w:val="24"/>
        </w:rPr>
        <w:t>MPP Essay</w:t>
      </w:r>
    </w:p>
    <w:p w14:paraId="534A7C6D" w14:textId="77777777" w:rsidR="004C04D9" w:rsidRDefault="004C04D9" w:rsidP="004C04D9">
      <w:pPr>
        <w:jc w:val="center"/>
        <w:rPr>
          <w:rFonts w:ascii="Times New Roman" w:hAnsi="Times New Roman"/>
          <w:bCs/>
          <w:sz w:val="24"/>
        </w:rPr>
      </w:pPr>
    </w:p>
    <w:p w14:paraId="3270D593" w14:textId="77777777" w:rsidR="004C04D9" w:rsidRDefault="004C04D9" w:rsidP="004C04D9">
      <w:pPr>
        <w:jc w:val="center"/>
        <w:rPr>
          <w:rFonts w:ascii="Times New Roman" w:hAnsi="Times New Roman"/>
          <w:bCs/>
          <w:sz w:val="24"/>
        </w:rPr>
      </w:pPr>
    </w:p>
    <w:p w14:paraId="2DBE3129" w14:textId="77777777" w:rsidR="004C04D9" w:rsidRDefault="004C04D9" w:rsidP="004C04D9">
      <w:pPr>
        <w:jc w:val="center"/>
        <w:rPr>
          <w:rFonts w:ascii="Times New Roman" w:hAnsi="Times New Roman"/>
          <w:bCs/>
          <w:sz w:val="24"/>
        </w:rPr>
      </w:pPr>
    </w:p>
    <w:p w14:paraId="7470B3AE" w14:textId="6880C421" w:rsidR="004C04D9" w:rsidRDefault="00D02271" w:rsidP="004C04D9">
      <w:pPr>
        <w:jc w:val="center"/>
        <w:rPr>
          <w:rFonts w:ascii="Times New Roman" w:hAnsi="Times New Roman"/>
          <w:bCs/>
          <w:sz w:val="24"/>
        </w:rPr>
      </w:pPr>
      <w:r>
        <w:rPr>
          <w:rFonts w:ascii="Times New Roman" w:hAnsi="Times New Roman"/>
          <w:bCs/>
          <w:sz w:val="24"/>
        </w:rPr>
        <w:t>s</w:t>
      </w:r>
      <w:r w:rsidR="004C04D9">
        <w:rPr>
          <w:rFonts w:ascii="Times New Roman" w:hAnsi="Times New Roman"/>
          <w:bCs/>
          <w:sz w:val="24"/>
        </w:rPr>
        <w:t>ubmitted to</w:t>
      </w:r>
    </w:p>
    <w:p w14:paraId="22AA067C" w14:textId="77777777" w:rsidR="004C04D9" w:rsidRDefault="004C04D9" w:rsidP="004C04D9">
      <w:pPr>
        <w:jc w:val="center"/>
        <w:rPr>
          <w:rFonts w:ascii="Times New Roman" w:hAnsi="Times New Roman"/>
          <w:bCs/>
          <w:sz w:val="24"/>
        </w:rPr>
      </w:pPr>
    </w:p>
    <w:p w14:paraId="267BA3A1" w14:textId="77777777" w:rsidR="004C04D9" w:rsidRDefault="004C04D9" w:rsidP="00D02271">
      <w:pPr>
        <w:rPr>
          <w:rFonts w:ascii="Times New Roman" w:hAnsi="Times New Roman"/>
          <w:bCs/>
          <w:sz w:val="24"/>
        </w:rPr>
      </w:pPr>
    </w:p>
    <w:p w14:paraId="11287782" w14:textId="77777777" w:rsidR="00A969D8" w:rsidRDefault="00A969D8" w:rsidP="00D02271">
      <w:pPr>
        <w:rPr>
          <w:rFonts w:ascii="Times New Roman" w:hAnsi="Times New Roman"/>
          <w:bCs/>
          <w:sz w:val="24"/>
        </w:rPr>
      </w:pPr>
    </w:p>
    <w:p w14:paraId="70410D49" w14:textId="59CE567E" w:rsidR="004C04D9" w:rsidRDefault="004C04D9" w:rsidP="004C04D9">
      <w:pPr>
        <w:jc w:val="center"/>
        <w:rPr>
          <w:rFonts w:ascii="Times New Roman" w:hAnsi="Times New Roman"/>
          <w:bCs/>
          <w:sz w:val="24"/>
        </w:rPr>
      </w:pPr>
      <w:r>
        <w:rPr>
          <w:rFonts w:ascii="Times New Roman" w:hAnsi="Times New Roman"/>
          <w:bCs/>
          <w:sz w:val="24"/>
        </w:rPr>
        <w:t>Oregon State University</w:t>
      </w:r>
    </w:p>
    <w:p w14:paraId="2EF126F1" w14:textId="77777777" w:rsidR="00D02271" w:rsidRDefault="00D02271" w:rsidP="004C04D9">
      <w:pPr>
        <w:jc w:val="center"/>
        <w:rPr>
          <w:rFonts w:ascii="Times New Roman" w:hAnsi="Times New Roman"/>
          <w:bCs/>
          <w:sz w:val="24"/>
        </w:rPr>
      </w:pPr>
    </w:p>
    <w:p w14:paraId="746FB62D" w14:textId="77777777" w:rsidR="00D02271" w:rsidRDefault="00D02271" w:rsidP="004C04D9">
      <w:pPr>
        <w:jc w:val="center"/>
        <w:rPr>
          <w:rFonts w:ascii="Times New Roman" w:hAnsi="Times New Roman"/>
          <w:bCs/>
          <w:sz w:val="24"/>
        </w:rPr>
      </w:pPr>
    </w:p>
    <w:p w14:paraId="7CACD940" w14:textId="77777777" w:rsidR="00D02271" w:rsidRDefault="00D02271" w:rsidP="004C04D9">
      <w:pPr>
        <w:jc w:val="center"/>
        <w:rPr>
          <w:rFonts w:ascii="Times New Roman" w:hAnsi="Times New Roman"/>
          <w:bCs/>
          <w:sz w:val="24"/>
        </w:rPr>
      </w:pPr>
    </w:p>
    <w:p w14:paraId="0AA79366" w14:textId="088B573B" w:rsidR="004C04D9" w:rsidRDefault="00D02271" w:rsidP="004C04D9">
      <w:pPr>
        <w:jc w:val="center"/>
        <w:rPr>
          <w:rFonts w:ascii="Times New Roman" w:hAnsi="Times New Roman"/>
          <w:bCs/>
          <w:sz w:val="24"/>
        </w:rPr>
      </w:pPr>
      <w:r>
        <w:rPr>
          <w:rFonts w:ascii="Times New Roman" w:hAnsi="Times New Roman"/>
          <w:bCs/>
          <w:sz w:val="24"/>
        </w:rPr>
        <w:t>i</w:t>
      </w:r>
      <w:r w:rsidR="004C04D9">
        <w:rPr>
          <w:rFonts w:ascii="Times New Roman" w:hAnsi="Times New Roman"/>
          <w:bCs/>
          <w:sz w:val="24"/>
        </w:rPr>
        <w:t>n partial fulfillment of</w:t>
      </w:r>
    </w:p>
    <w:p w14:paraId="5BD90094" w14:textId="7D820A1C" w:rsidR="004C04D9" w:rsidRDefault="004C04D9" w:rsidP="004C04D9">
      <w:pPr>
        <w:jc w:val="center"/>
        <w:rPr>
          <w:rFonts w:ascii="Times New Roman" w:hAnsi="Times New Roman"/>
          <w:bCs/>
          <w:sz w:val="24"/>
        </w:rPr>
      </w:pPr>
      <w:r>
        <w:rPr>
          <w:rFonts w:ascii="Times New Roman" w:hAnsi="Times New Roman"/>
          <w:bCs/>
          <w:sz w:val="24"/>
        </w:rPr>
        <w:t xml:space="preserve">the requirements for the </w:t>
      </w:r>
    </w:p>
    <w:p w14:paraId="0459A0FF" w14:textId="7F08E6CA" w:rsidR="004C04D9" w:rsidRDefault="004C04D9" w:rsidP="004C04D9">
      <w:pPr>
        <w:jc w:val="center"/>
        <w:rPr>
          <w:rFonts w:ascii="Times New Roman" w:hAnsi="Times New Roman"/>
          <w:bCs/>
          <w:sz w:val="24"/>
        </w:rPr>
      </w:pPr>
      <w:r>
        <w:rPr>
          <w:rFonts w:ascii="Times New Roman" w:hAnsi="Times New Roman"/>
          <w:bCs/>
          <w:sz w:val="24"/>
        </w:rPr>
        <w:t xml:space="preserve">degree of </w:t>
      </w:r>
    </w:p>
    <w:p w14:paraId="138AD5E9" w14:textId="77777777" w:rsidR="004C04D9" w:rsidRDefault="004C04D9" w:rsidP="00D02271">
      <w:pPr>
        <w:rPr>
          <w:rFonts w:ascii="Times New Roman" w:hAnsi="Times New Roman"/>
          <w:bCs/>
          <w:sz w:val="24"/>
        </w:rPr>
      </w:pPr>
    </w:p>
    <w:p w14:paraId="503D1AB1" w14:textId="77777777" w:rsidR="004C04D9" w:rsidRDefault="004C04D9" w:rsidP="004C04D9">
      <w:pPr>
        <w:jc w:val="center"/>
        <w:rPr>
          <w:rFonts w:ascii="Times New Roman" w:hAnsi="Times New Roman"/>
          <w:bCs/>
          <w:sz w:val="24"/>
        </w:rPr>
      </w:pPr>
    </w:p>
    <w:p w14:paraId="587D667B" w14:textId="77777777" w:rsidR="00A969D8" w:rsidRDefault="00A969D8" w:rsidP="004C04D9">
      <w:pPr>
        <w:jc w:val="center"/>
        <w:rPr>
          <w:rFonts w:ascii="Times New Roman" w:hAnsi="Times New Roman"/>
          <w:bCs/>
          <w:sz w:val="24"/>
        </w:rPr>
      </w:pPr>
    </w:p>
    <w:p w14:paraId="229567FE" w14:textId="5DD1559F" w:rsidR="004C04D9" w:rsidRDefault="004C04D9" w:rsidP="00A969D8">
      <w:pPr>
        <w:jc w:val="center"/>
        <w:rPr>
          <w:rFonts w:ascii="Times New Roman" w:hAnsi="Times New Roman"/>
          <w:bCs/>
          <w:sz w:val="24"/>
        </w:rPr>
      </w:pPr>
      <w:r>
        <w:rPr>
          <w:rFonts w:ascii="Times New Roman" w:hAnsi="Times New Roman"/>
          <w:bCs/>
          <w:sz w:val="24"/>
        </w:rPr>
        <w:t>Master of Public Policy</w:t>
      </w:r>
    </w:p>
    <w:p w14:paraId="4A411646" w14:textId="77777777" w:rsidR="004C04D9" w:rsidRDefault="004C04D9" w:rsidP="004C04D9">
      <w:pPr>
        <w:jc w:val="center"/>
        <w:rPr>
          <w:rFonts w:ascii="Times New Roman" w:hAnsi="Times New Roman"/>
          <w:bCs/>
          <w:sz w:val="24"/>
        </w:rPr>
      </w:pPr>
    </w:p>
    <w:p w14:paraId="3E005B1D" w14:textId="77777777" w:rsidR="004C04D9" w:rsidRDefault="004C04D9" w:rsidP="004C04D9">
      <w:pPr>
        <w:jc w:val="center"/>
        <w:rPr>
          <w:rFonts w:ascii="Times New Roman" w:hAnsi="Times New Roman"/>
          <w:bCs/>
          <w:sz w:val="24"/>
        </w:rPr>
      </w:pPr>
    </w:p>
    <w:p w14:paraId="53FAB485" w14:textId="77777777" w:rsidR="004C04D9" w:rsidRDefault="004C04D9" w:rsidP="00A969D8">
      <w:pPr>
        <w:rPr>
          <w:rFonts w:ascii="Times New Roman" w:hAnsi="Times New Roman"/>
          <w:bCs/>
          <w:sz w:val="24"/>
        </w:rPr>
      </w:pPr>
    </w:p>
    <w:p w14:paraId="53EC3DC3" w14:textId="77777777" w:rsidR="004C04D9" w:rsidRDefault="004C04D9" w:rsidP="004C04D9">
      <w:pPr>
        <w:jc w:val="center"/>
        <w:rPr>
          <w:rFonts w:ascii="Times New Roman" w:hAnsi="Times New Roman"/>
          <w:bCs/>
          <w:sz w:val="24"/>
        </w:rPr>
      </w:pPr>
    </w:p>
    <w:p w14:paraId="290A4DD0" w14:textId="77777777" w:rsidR="004C04D9" w:rsidRDefault="004C04D9" w:rsidP="004C04D9">
      <w:pPr>
        <w:jc w:val="center"/>
        <w:rPr>
          <w:rFonts w:ascii="Times New Roman" w:hAnsi="Times New Roman"/>
          <w:bCs/>
          <w:sz w:val="24"/>
        </w:rPr>
      </w:pPr>
    </w:p>
    <w:p w14:paraId="0B57F497" w14:textId="77777777" w:rsidR="004C04D9" w:rsidRDefault="004C04D9" w:rsidP="004C04D9">
      <w:pPr>
        <w:jc w:val="center"/>
        <w:rPr>
          <w:rFonts w:ascii="Times New Roman" w:hAnsi="Times New Roman"/>
          <w:bCs/>
          <w:sz w:val="24"/>
        </w:rPr>
      </w:pPr>
    </w:p>
    <w:p w14:paraId="20C3C34F" w14:textId="77777777" w:rsidR="00A969D8" w:rsidRDefault="00A969D8" w:rsidP="004C04D9">
      <w:pPr>
        <w:jc w:val="center"/>
        <w:rPr>
          <w:rFonts w:ascii="Times New Roman" w:hAnsi="Times New Roman"/>
          <w:bCs/>
          <w:sz w:val="24"/>
        </w:rPr>
      </w:pPr>
    </w:p>
    <w:p w14:paraId="0E983C74" w14:textId="0A033C13" w:rsidR="004C04D9" w:rsidRDefault="004C04D9" w:rsidP="00A969D8">
      <w:pPr>
        <w:jc w:val="center"/>
        <w:rPr>
          <w:rFonts w:ascii="Times New Roman" w:hAnsi="Times New Roman"/>
          <w:bCs/>
          <w:sz w:val="24"/>
        </w:rPr>
      </w:pPr>
      <w:r>
        <w:rPr>
          <w:rFonts w:ascii="Times New Roman" w:hAnsi="Times New Roman"/>
          <w:bCs/>
          <w:sz w:val="24"/>
        </w:rPr>
        <w:t>Presented August 15</w:t>
      </w:r>
      <w:r w:rsidRPr="004C04D9">
        <w:rPr>
          <w:rFonts w:ascii="Times New Roman" w:hAnsi="Times New Roman"/>
          <w:bCs/>
          <w:sz w:val="24"/>
          <w:vertAlign w:val="superscript"/>
        </w:rPr>
        <w:t>th</w:t>
      </w:r>
      <w:r>
        <w:rPr>
          <w:rFonts w:ascii="Times New Roman" w:hAnsi="Times New Roman"/>
          <w:bCs/>
          <w:sz w:val="24"/>
        </w:rPr>
        <w:t>, 2012</w:t>
      </w:r>
    </w:p>
    <w:p w14:paraId="5E36206A" w14:textId="77777777" w:rsidR="00A969D8" w:rsidRDefault="00A969D8">
      <w:pPr>
        <w:rPr>
          <w:rFonts w:ascii="Times New Roman" w:hAnsi="Times New Roman"/>
          <w:bCs/>
          <w:sz w:val="24"/>
          <w:u w:val="single"/>
        </w:rPr>
      </w:pPr>
      <w:r>
        <w:rPr>
          <w:rFonts w:ascii="Times New Roman" w:hAnsi="Times New Roman"/>
          <w:bCs/>
          <w:sz w:val="24"/>
          <w:u w:val="single"/>
        </w:rPr>
        <w:br w:type="page"/>
      </w:r>
    </w:p>
    <w:p w14:paraId="23821C0C" w14:textId="31A9E800" w:rsidR="004C04D9" w:rsidRDefault="004C04D9" w:rsidP="004C04D9">
      <w:pPr>
        <w:rPr>
          <w:rFonts w:ascii="Times New Roman" w:hAnsi="Times New Roman"/>
          <w:bCs/>
          <w:sz w:val="24"/>
        </w:rPr>
      </w:pPr>
      <w:r w:rsidRPr="004C04D9">
        <w:rPr>
          <w:rFonts w:ascii="Times New Roman" w:hAnsi="Times New Roman"/>
          <w:bCs/>
          <w:sz w:val="24"/>
          <w:u w:val="single"/>
        </w:rPr>
        <w:lastRenderedPageBreak/>
        <w:t>Master of Public Policy</w:t>
      </w:r>
      <w:r w:rsidRPr="004C04D9">
        <w:rPr>
          <w:rFonts w:ascii="Times New Roman" w:hAnsi="Times New Roman"/>
          <w:bCs/>
          <w:sz w:val="24"/>
        </w:rPr>
        <w:t xml:space="preserve"> essay of </w:t>
      </w:r>
      <w:r w:rsidRPr="004C04D9">
        <w:rPr>
          <w:rFonts w:ascii="Times New Roman" w:hAnsi="Times New Roman"/>
          <w:bCs/>
          <w:sz w:val="24"/>
          <w:u w:val="single"/>
        </w:rPr>
        <w:t>Breannon Babbel</w:t>
      </w:r>
      <w:r w:rsidRPr="004C04D9">
        <w:rPr>
          <w:rFonts w:ascii="Times New Roman" w:hAnsi="Times New Roman"/>
          <w:bCs/>
          <w:sz w:val="24"/>
        </w:rPr>
        <w:t xml:space="preserve"> presented on </w:t>
      </w:r>
      <w:r>
        <w:rPr>
          <w:rFonts w:ascii="Times New Roman" w:hAnsi="Times New Roman"/>
          <w:bCs/>
          <w:sz w:val="24"/>
        </w:rPr>
        <w:t>August 15</w:t>
      </w:r>
      <w:r w:rsidRPr="004C04D9">
        <w:rPr>
          <w:rFonts w:ascii="Times New Roman" w:hAnsi="Times New Roman"/>
          <w:bCs/>
          <w:sz w:val="24"/>
          <w:vertAlign w:val="superscript"/>
        </w:rPr>
        <w:t>th</w:t>
      </w:r>
      <w:r>
        <w:rPr>
          <w:rFonts w:ascii="Times New Roman" w:hAnsi="Times New Roman"/>
          <w:bCs/>
          <w:sz w:val="24"/>
        </w:rPr>
        <w:t>, 2012</w:t>
      </w:r>
      <w:r w:rsidRPr="004C04D9">
        <w:rPr>
          <w:rFonts w:ascii="Times New Roman" w:hAnsi="Times New Roman"/>
          <w:bCs/>
          <w:sz w:val="24"/>
        </w:rPr>
        <w:t xml:space="preserve"> </w:t>
      </w:r>
    </w:p>
    <w:p w14:paraId="6D102087" w14:textId="77777777" w:rsidR="004C04D9" w:rsidRDefault="004C04D9" w:rsidP="004C04D9">
      <w:pPr>
        <w:rPr>
          <w:rFonts w:ascii="Times New Roman" w:hAnsi="Times New Roman"/>
          <w:bCs/>
          <w:sz w:val="24"/>
        </w:rPr>
      </w:pPr>
    </w:p>
    <w:p w14:paraId="1EBCD541" w14:textId="77777777" w:rsidR="004C04D9" w:rsidRDefault="004C04D9" w:rsidP="004C04D9">
      <w:pPr>
        <w:rPr>
          <w:rFonts w:ascii="Times New Roman" w:hAnsi="Times New Roman"/>
          <w:bCs/>
          <w:sz w:val="24"/>
        </w:rPr>
      </w:pPr>
    </w:p>
    <w:p w14:paraId="4D4DDBFB" w14:textId="77777777" w:rsidR="004C04D9" w:rsidRDefault="004C04D9" w:rsidP="004C04D9">
      <w:pPr>
        <w:rPr>
          <w:rFonts w:ascii="Times New Roman" w:hAnsi="Times New Roman"/>
          <w:bCs/>
          <w:sz w:val="24"/>
        </w:rPr>
      </w:pPr>
    </w:p>
    <w:p w14:paraId="3EFCFCF5" w14:textId="77777777" w:rsidR="004C04D9" w:rsidRDefault="004C04D9" w:rsidP="004C04D9">
      <w:pPr>
        <w:rPr>
          <w:rFonts w:ascii="Times New Roman" w:hAnsi="Times New Roman"/>
          <w:bCs/>
          <w:sz w:val="24"/>
        </w:rPr>
      </w:pPr>
    </w:p>
    <w:p w14:paraId="0A811581" w14:textId="77777777" w:rsidR="004C04D9" w:rsidRDefault="004C04D9" w:rsidP="004C04D9">
      <w:pPr>
        <w:rPr>
          <w:rFonts w:ascii="Times New Roman" w:hAnsi="Times New Roman"/>
          <w:bCs/>
          <w:sz w:val="24"/>
        </w:rPr>
      </w:pPr>
      <w:r>
        <w:rPr>
          <w:rFonts w:ascii="Times New Roman" w:hAnsi="Times New Roman"/>
          <w:bCs/>
          <w:sz w:val="24"/>
        </w:rPr>
        <w:t>APPROVED:</w:t>
      </w:r>
    </w:p>
    <w:p w14:paraId="6DB3212E" w14:textId="77777777" w:rsidR="004C04D9" w:rsidRDefault="004C04D9" w:rsidP="004C04D9">
      <w:pPr>
        <w:rPr>
          <w:rFonts w:ascii="Times New Roman" w:hAnsi="Times New Roman"/>
          <w:bCs/>
          <w:sz w:val="24"/>
        </w:rPr>
      </w:pPr>
    </w:p>
    <w:p w14:paraId="0C0CD7F4" w14:textId="77777777" w:rsidR="004C04D9" w:rsidRDefault="004C04D9" w:rsidP="004C04D9">
      <w:pPr>
        <w:rPr>
          <w:rFonts w:ascii="Times New Roman" w:hAnsi="Times New Roman"/>
          <w:bCs/>
          <w:sz w:val="24"/>
        </w:rPr>
      </w:pPr>
    </w:p>
    <w:p w14:paraId="63C55107" w14:textId="77777777" w:rsidR="004C04D9" w:rsidRDefault="004C04D9" w:rsidP="004C04D9">
      <w:pPr>
        <w:rPr>
          <w:rFonts w:ascii="Times New Roman" w:hAnsi="Times New Roman"/>
          <w:bCs/>
          <w:sz w:val="24"/>
        </w:rPr>
      </w:pPr>
    </w:p>
    <w:p w14:paraId="3E76CF35" w14:textId="77777777" w:rsidR="00D02271" w:rsidRDefault="00D02271" w:rsidP="004C04D9">
      <w:pPr>
        <w:rPr>
          <w:rFonts w:ascii="Times New Roman" w:hAnsi="Times New Roman"/>
          <w:bCs/>
          <w:sz w:val="24"/>
        </w:rPr>
      </w:pPr>
    </w:p>
    <w:p w14:paraId="23C26BE3" w14:textId="77777777" w:rsidR="004C04D9" w:rsidRDefault="004C04D9" w:rsidP="004C04D9">
      <w:pPr>
        <w:pBdr>
          <w:bottom w:val="single" w:sz="12" w:space="1" w:color="auto"/>
        </w:pBdr>
        <w:rPr>
          <w:rFonts w:ascii="Times New Roman" w:hAnsi="Times New Roman"/>
          <w:bCs/>
          <w:sz w:val="24"/>
        </w:rPr>
      </w:pPr>
    </w:p>
    <w:p w14:paraId="625DDED1" w14:textId="77777777" w:rsidR="004C04D9" w:rsidRDefault="004C04D9" w:rsidP="004C04D9">
      <w:pPr>
        <w:rPr>
          <w:rFonts w:ascii="Times New Roman" w:hAnsi="Times New Roman"/>
          <w:bCs/>
          <w:sz w:val="24"/>
        </w:rPr>
      </w:pPr>
      <w:r>
        <w:rPr>
          <w:rFonts w:ascii="Times New Roman" w:hAnsi="Times New Roman"/>
          <w:bCs/>
          <w:sz w:val="24"/>
        </w:rPr>
        <w:t>Stephanie Bernell, representing Public Health</w:t>
      </w:r>
    </w:p>
    <w:p w14:paraId="36BA9523" w14:textId="77777777" w:rsidR="004C04D9" w:rsidRDefault="004C04D9" w:rsidP="004C04D9">
      <w:pPr>
        <w:rPr>
          <w:rFonts w:ascii="Times New Roman" w:hAnsi="Times New Roman"/>
          <w:bCs/>
          <w:sz w:val="24"/>
        </w:rPr>
      </w:pPr>
    </w:p>
    <w:p w14:paraId="6EF7F313" w14:textId="77777777" w:rsidR="00D02271" w:rsidRDefault="00D02271" w:rsidP="004C04D9">
      <w:pPr>
        <w:rPr>
          <w:rFonts w:ascii="Times New Roman" w:hAnsi="Times New Roman"/>
          <w:bCs/>
          <w:sz w:val="24"/>
        </w:rPr>
      </w:pPr>
    </w:p>
    <w:p w14:paraId="2EF83F53" w14:textId="77777777" w:rsidR="004C04D9" w:rsidRDefault="004C04D9" w:rsidP="004C04D9">
      <w:pPr>
        <w:rPr>
          <w:rFonts w:ascii="Times New Roman" w:hAnsi="Times New Roman"/>
          <w:bCs/>
          <w:sz w:val="24"/>
        </w:rPr>
      </w:pPr>
    </w:p>
    <w:p w14:paraId="16B3A544" w14:textId="77777777" w:rsidR="004C04D9" w:rsidRDefault="004C04D9" w:rsidP="004C04D9">
      <w:pPr>
        <w:rPr>
          <w:rFonts w:ascii="Times New Roman" w:hAnsi="Times New Roman"/>
          <w:bCs/>
          <w:sz w:val="24"/>
        </w:rPr>
      </w:pPr>
    </w:p>
    <w:p w14:paraId="5B922AB4" w14:textId="77777777" w:rsidR="004C04D9" w:rsidRDefault="004C04D9" w:rsidP="004C04D9">
      <w:pPr>
        <w:rPr>
          <w:rFonts w:ascii="Times New Roman" w:hAnsi="Times New Roman"/>
          <w:bCs/>
          <w:sz w:val="24"/>
        </w:rPr>
      </w:pPr>
    </w:p>
    <w:p w14:paraId="04A2244E" w14:textId="77777777" w:rsidR="004C04D9" w:rsidRDefault="004C04D9" w:rsidP="004C04D9">
      <w:pPr>
        <w:pBdr>
          <w:bottom w:val="single" w:sz="6" w:space="1" w:color="auto"/>
        </w:pBdr>
        <w:rPr>
          <w:rFonts w:ascii="Times New Roman" w:hAnsi="Times New Roman"/>
          <w:bCs/>
          <w:sz w:val="24"/>
        </w:rPr>
      </w:pPr>
    </w:p>
    <w:p w14:paraId="04D7D303" w14:textId="77777777" w:rsidR="004C04D9" w:rsidRDefault="004C04D9" w:rsidP="004C04D9">
      <w:pPr>
        <w:rPr>
          <w:rFonts w:ascii="Times New Roman" w:hAnsi="Times New Roman"/>
          <w:bCs/>
          <w:sz w:val="24"/>
        </w:rPr>
      </w:pPr>
      <w:r>
        <w:rPr>
          <w:rFonts w:ascii="Times New Roman" w:hAnsi="Times New Roman"/>
          <w:bCs/>
          <w:sz w:val="24"/>
        </w:rPr>
        <w:t>Sarah Henderson, representing Political Science</w:t>
      </w:r>
    </w:p>
    <w:p w14:paraId="3EE47E0F" w14:textId="77777777" w:rsidR="004C04D9" w:rsidRDefault="004C04D9" w:rsidP="004C04D9">
      <w:pPr>
        <w:rPr>
          <w:rFonts w:ascii="Times New Roman" w:hAnsi="Times New Roman"/>
          <w:bCs/>
          <w:sz w:val="24"/>
        </w:rPr>
      </w:pPr>
    </w:p>
    <w:p w14:paraId="39352367" w14:textId="77777777" w:rsidR="00D02271" w:rsidRDefault="00D02271" w:rsidP="004C04D9">
      <w:pPr>
        <w:rPr>
          <w:rFonts w:ascii="Times New Roman" w:hAnsi="Times New Roman"/>
          <w:bCs/>
          <w:sz w:val="24"/>
        </w:rPr>
      </w:pPr>
    </w:p>
    <w:p w14:paraId="5EC4D4B9" w14:textId="77777777" w:rsidR="004C04D9" w:rsidRDefault="004C04D9" w:rsidP="004C04D9">
      <w:pPr>
        <w:rPr>
          <w:rFonts w:ascii="Times New Roman" w:hAnsi="Times New Roman"/>
          <w:bCs/>
          <w:sz w:val="24"/>
        </w:rPr>
      </w:pPr>
    </w:p>
    <w:p w14:paraId="40219DCA" w14:textId="77777777" w:rsidR="004C04D9" w:rsidRDefault="004C04D9" w:rsidP="004C04D9">
      <w:pPr>
        <w:rPr>
          <w:rFonts w:ascii="Times New Roman" w:hAnsi="Times New Roman"/>
          <w:bCs/>
          <w:sz w:val="24"/>
        </w:rPr>
      </w:pPr>
    </w:p>
    <w:p w14:paraId="64AF2D64" w14:textId="77777777" w:rsidR="004C04D9" w:rsidRDefault="004C04D9" w:rsidP="004C04D9">
      <w:pPr>
        <w:rPr>
          <w:rFonts w:ascii="Times New Roman" w:hAnsi="Times New Roman"/>
          <w:bCs/>
          <w:sz w:val="24"/>
        </w:rPr>
      </w:pPr>
    </w:p>
    <w:p w14:paraId="2F6D3B75" w14:textId="77777777" w:rsidR="004C04D9" w:rsidRDefault="004C04D9" w:rsidP="004C04D9">
      <w:pPr>
        <w:pBdr>
          <w:bottom w:val="single" w:sz="6" w:space="1" w:color="auto"/>
        </w:pBdr>
        <w:rPr>
          <w:rFonts w:ascii="Times New Roman" w:hAnsi="Times New Roman"/>
          <w:bCs/>
          <w:sz w:val="24"/>
        </w:rPr>
      </w:pPr>
    </w:p>
    <w:p w14:paraId="7105E529" w14:textId="085C1653" w:rsidR="004C04D9" w:rsidRDefault="004C04D9" w:rsidP="004C04D9">
      <w:pPr>
        <w:rPr>
          <w:rFonts w:ascii="Times New Roman" w:hAnsi="Times New Roman"/>
          <w:bCs/>
          <w:sz w:val="24"/>
        </w:rPr>
      </w:pPr>
      <w:r>
        <w:rPr>
          <w:rFonts w:ascii="Times New Roman" w:hAnsi="Times New Roman"/>
          <w:bCs/>
          <w:sz w:val="24"/>
        </w:rPr>
        <w:t>David Bernell, representing Political Science</w:t>
      </w:r>
    </w:p>
    <w:p w14:paraId="7DFE1852" w14:textId="77777777" w:rsidR="00D02271" w:rsidRDefault="00D02271" w:rsidP="00D02271">
      <w:pPr>
        <w:rPr>
          <w:rFonts w:ascii="Times New Roman" w:hAnsi="Times New Roman"/>
          <w:bCs/>
          <w:sz w:val="24"/>
        </w:rPr>
      </w:pPr>
    </w:p>
    <w:p w14:paraId="17F7ED50" w14:textId="77777777" w:rsidR="00D02271" w:rsidRDefault="00D02271" w:rsidP="00D02271">
      <w:pPr>
        <w:rPr>
          <w:rFonts w:ascii="Times New Roman" w:hAnsi="Times New Roman"/>
          <w:bCs/>
          <w:sz w:val="24"/>
        </w:rPr>
      </w:pPr>
    </w:p>
    <w:p w14:paraId="1D57E2B7" w14:textId="77777777" w:rsidR="00D02271" w:rsidRDefault="00D02271" w:rsidP="00D02271">
      <w:pPr>
        <w:rPr>
          <w:rFonts w:ascii="Times New Roman" w:hAnsi="Times New Roman"/>
          <w:bCs/>
          <w:sz w:val="24"/>
        </w:rPr>
      </w:pPr>
    </w:p>
    <w:p w14:paraId="4FA1595A" w14:textId="77777777" w:rsidR="00D02271" w:rsidRDefault="00D02271" w:rsidP="00D02271">
      <w:pPr>
        <w:rPr>
          <w:rFonts w:ascii="Times New Roman" w:hAnsi="Times New Roman"/>
          <w:bCs/>
          <w:sz w:val="24"/>
        </w:rPr>
      </w:pPr>
    </w:p>
    <w:p w14:paraId="36EDCC6F" w14:textId="77777777" w:rsidR="00D02271" w:rsidRDefault="00D02271" w:rsidP="00D02271">
      <w:pPr>
        <w:rPr>
          <w:rFonts w:ascii="Times New Roman" w:hAnsi="Times New Roman"/>
          <w:bCs/>
          <w:sz w:val="24"/>
        </w:rPr>
      </w:pPr>
    </w:p>
    <w:p w14:paraId="5BC88B0D" w14:textId="77777777" w:rsidR="00D02271" w:rsidRDefault="00D02271" w:rsidP="00D02271">
      <w:pPr>
        <w:rPr>
          <w:rFonts w:ascii="Times New Roman" w:hAnsi="Times New Roman"/>
          <w:bCs/>
          <w:sz w:val="24"/>
        </w:rPr>
      </w:pPr>
    </w:p>
    <w:p w14:paraId="378B4B90" w14:textId="77777777" w:rsidR="00D02271" w:rsidRDefault="00D02271" w:rsidP="00D02271">
      <w:pPr>
        <w:rPr>
          <w:rFonts w:ascii="Times New Roman" w:hAnsi="Times New Roman"/>
          <w:bCs/>
          <w:sz w:val="24"/>
        </w:rPr>
      </w:pPr>
    </w:p>
    <w:p w14:paraId="75DEA4FB" w14:textId="77777777" w:rsidR="00D02271" w:rsidRDefault="00D02271" w:rsidP="00D02271">
      <w:pPr>
        <w:rPr>
          <w:rFonts w:ascii="Times New Roman" w:hAnsi="Times New Roman"/>
          <w:bCs/>
          <w:sz w:val="24"/>
        </w:rPr>
      </w:pPr>
    </w:p>
    <w:p w14:paraId="764C3698" w14:textId="77777777" w:rsidR="00A969D8" w:rsidRDefault="00A969D8" w:rsidP="00D02271">
      <w:pPr>
        <w:rPr>
          <w:rFonts w:ascii="Times New Roman" w:hAnsi="Times New Roman"/>
          <w:bCs/>
          <w:sz w:val="24"/>
        </w:rPr>
      </w:pPr>
    </w:p>
    <w:p w14:paraId="64D7596E" w14:textId="77777777" w:rsidR="00A969D8" w:rsidRDefault="00A969D8" w:rsidP="00D02271">
      <w:pPr>
        <w:rPr>
          <w:rFonts w:ascii="Times New Roman" w:hAnsi="Times New Roman"/>
          <w:bCs/>
          <w:sz w:val="24"/>
        </w:rPr>
      </w:pPr>
    </w:p>
    <w:p w14:paraId="348EC6AD" w14:textId="77777777" w:rsidR="00A969D8" w:rsidRDefault="00A969D8" w:rsidP="00D02271">
      <w:pPr>
        <w:rPr>
          <w:rFonts w:ascii="Times New Roman" w:hAnsi="Times New Roman"/>
          <w:bCs/>
          <w:sz w:val="24"/>
        </w:rPr>
      </w:pPr>
    </w:p>
    <w:p w14:paraId="64689C09" w14:textId="77777777" w:rsidR="00A969D8" w:rsidRDefault="00A969D8" w:rsidP="00D02271">
      <w:pPr>
        <w:rPr>
          <w:rFonts w:ascii="Times New Roman" w:hAnsi="Times New Roman"/>
          <w:bCs/>
          <w:sz w:val="24"/>
        </w:rPr>
      </w:pPr>
    </w:p>
    <w:p w14:paraId="1C36E029" w14:textId="77777777" w:rsidR="00A969D8" w:rsidRDefault="00A969D8" w:rsidP="00D02271">
      <w:pPr>
        <w:rPr>
          <w:rFonts w:ascii="Times New Roman" w:hAnsi="Times New Roman"/>
          <w:bCs/>
          <w:sz w:val="24"/>
        </w:rPr>
      </w:pPr>
    </w:p>
    <w:p w14:paraId="796C30EF" w14:textId="77777777" w:rsidR="00D02271" w:rsidRDefault="00D02271" w:rsidP="00D02271">
      <w:pPr>
        <w:rPr>
          <w:rFonts w:ascii="Times New Roman" w:hAnsi="Times New Roman"/>
          <w:bCs/>
          <w:sz w:val="24"/>
        </w:rPr>
      </w:pPr>
    </w:p>
    <w:p w14:paraId="469E357D" w14:textId="77777777" w:rsidR="00D02271" w:rsidRDefault="00D02271" w:rsidP="00D02271">
      <w:pPr>
        <w:rPr>
          <w:rFonts w:ascii="Times New Roman" w:hAnsi="Times New Roman"/>
          <w:bCs/>
          <w:sz w:val="24"/>
        </w:rPr>
      </w:pPr>
    </w:p>
    <w:p w14:paraId="7BEDA77C" w14:textId="77777777" w:rsidR="00D02271" w:rsidRDefault="00D02271" w:rsidP="00D02271">
      <w:pPr>
        <w:pBdr>
          <w:bottom w:val="single" w:sz="6" w:space="1" w:color="auto"/>
        </w:pBdr>
        <w:rPr>
          <w:rFonts w:ascii="Times New Roman" w:hAnsi="Times New Roman"/>
          <w:bCs/>
          <w:sz w:val="24"/>
        </w:rPr>
      </w:pPr>
    </w:p>
    <w:p w14:paraId="37D675A1" w14:textId="070A5F14" w:rsidR="00D02271" w:rsidRDefault="00D02271" w:rsidP="00D02271">
      <w:pPr>
        <w:jc w:val="center"/>
        <w:rPr>
          <w:rFonts w:ascii="Times New Roman" w:hAnsi="Times New Roman"/>
          <w:bCs/>
          <w:sz w:val="24"/>
        </w:rPr>
      </w:pPr>
      <w:r>
        <w:rPr>
          <w:rFonts w:ascii="Times New Roman" w:hAnsi="Times New Roman"/>
          <w:bCs/>
          <w:sz w:val="24"/>
        </w:rPr>
        <w:t>Breannon Babbel, Author</w:t>
      </w:r>
    </w:p>
    <w:p w14:paraId="33EE2B54" w14:textId="77777777" w:rsidR="00D02271" w:rsidRDefault="00D02271">
      <w:pPr>
        <w:rPr>
          <w:rFonts w:ascii="Times New Roman" w:hAnsi="Times New Roman"/>
          <w:bCs/>
          <w:sz w:val="24"/>
        </w:rPr>
      </w:pPr>
      <w:r>
        <w:rPr>
          <w:rFonts w:ascii="Times New Roman" w:hAnsi="Times New Roman"/>
          <w:bCs/>
          <w:sz w:val="24"/>
        </w:rPr>
        <w:br w:type="page"/>
      </w:r>
    </w:p>
    <w:p w14:paraId="2477126B" w14:textId="5300FDAC" w:rsidR="004C04D9" w:rsidRPr="00F1130A" w:rsidRDefault="00D02271" w:rsidP="00D02271">
      <w:pPr>
        <w:rPr>
          <w:rFonts w:ascii="Times New Roman" w:hAnsi="Times New Roman"/>
          <w:b/>
          <w:bCs/>
          <w:sz w:val="28"/>
          <w:szCs w:val="28"/>
        </w:rPr>
      </w:pPr>
      <w:r w:rsidRPr="00F1130A">
        <w:rPr>
          <w:rFonts w:ascii="Times New Roman" w:hAnsi="Times New Roman"/>
          <w:b/>
          <w:bCs/>
          <w:sz w:val="28"/>
          <w:szCs w:val="28"/>
        </w:rPr>
        <w:t>Abstract</w:t>
      </w:r>
    </w:p>
    <w:p w14:paraId="2AD8B087" w14:textId="77777777" w:rsidR="00D02271" w:rsidRDefault="00D02271" w:rsidP="004C04D9">
      <w:pPr>
        <w:rPr>
          <w:rFonts w:ascii="Times New Roman" w:hAnsi="Times New Roman"/>
          <w:bCs/>
          <w:sz w:val="24"/>
        </w:rPr>
      </w:pPr>
    </w:p>
    <w:p w14:paraId="716E0AC4" w14:textId="72D3E8ED" w:rsidR="00E14841" w:rsidRPr="000F00C4" w:rsidRDefault="00E14841" w:rsidP="00E14841">
      <w:pPr>
        <w:rPr>
          <w:rFonts w:ascii="Times New Roman" w:hAnsi="Times New Roman"/>
          <w:b/>
          <w:bCs/>
          <w:sz w:val="24"/>
        </w:rPr>
      </w:pPr>
      <w:r w:rsidRPr="000F00C4">
        <w:rPr>
          <w:rFonts w:ascii="Times New Roman" w:hAnsi="Times New Roman"/>
          <w:sz w:val="24"/>
        </w:rPr>
        <w:t xml:space="preserve">Equitable access to primary health care is vital to the overall health and development of a country. Since its independence in 1967, Tanzania has established a clear objective of achieving primary health care for all. </w:t>
      </w:r>
      <w:r w:rsidR="007037A0">
        <w:rPr>
          <w:rFonts w:ascii="Times New Roman" w:hAnsi="Times New Roman"/>
          <w:sz w:val="24"/>
        </w:rPr>
        <w:t>Yet</w:t>
      </w:r>
      <w:r w:rsidRPr="000F00C4">
        <w:rPr>
          <w:rFonts w:ascii="Times New Roman" w:hAnsi="Times New Roman"/>
          <w:sz w:val="24"/>
        </w:rPr>
        <w:t xml:space="preserve"> achieving the goal of health care for all is especially difficult considering </w:t>
      </w:r>
      <w:r w:rsidR="007037A0">
        <w:rPr>
          <w:rFonts w:ascii="Times New Roman" w:hAnsi="Times New Roman"/>
          <w:sz w:val="24"/>
        </w:rPr>
        <w:t xml:space="preserve">Tanzania’s poverty and </w:t>
      </w:r>
      <w:r w:rsidRPr="000F00C4">
        <w:rPr>
          <w:rFonts w:ascii="Times New Roman" w:hAnsi="Times New Roman"/>
          <w:sz w:val="24"/>
        </w:rPr>
        <w:t xml:space="preserve">rural </w:t>
      </w:r>
      <w:r w:rsidR="007037A0">
        <w:rPr>
          <w:rFonts w:ascii="Times New Roman" w:hAnsi="Times New Roman"/>
          <w:sz w:val="24"/>
        </w:rPr>
        <w:t>population base</w:t>
      </w:r>
      <w:r w:rsidRPr="000F00C4">
        <w:rPr>
          <w:rFonts w:ascii="Times New Roman" w:hAnsi="Times New Roman"/>
          <w:sz w:val="24"/>
        </w:rPr>
        <w:t xml:space="preserve">. This essay 1) explores the extent to which equitable primary health care services are available to all citizens in Tanzania and 2) explores the changes in health status of key primary health care-related health indicators to assess the effectiveness of Tanzania’s efforts. To conduct this analysis, a desk-based literature review was performed examining relevant peer-reviewed research in addition to government reports and polices from </w:t>
      </w:r>
      <w:r>
        <w:rPr>
          <w:rFonts w:ascii="Times New Roman" w:hAnsi="Times New Roman"/>
          <w:sz w:val="24"/>
        </w:rPr>
        <w:t>Tanzania’s</w:t>
      </w:r>
      <w:r w:rsidRPr="000F00C4">
        <w:rPr>
          <w:rFonts w:ascii="Times New Roman" w:hAnsi="Times New Roman"/>
          <w:sz w:val="24"/>
        </w:rPr>
        <w:t xml:space="preserve"> Ministry of Health and Social Welfare. Ultimately, this review found that the Tanzanian government has utilized various PHC strategies—decentralization, user fee abolition, and contracting out of services—with varying degrees of effectiveness in their quest for health care for all. Decentralization and the use of non-governmental actors to extend services can be seen as strengths, while the government’s ability to enforce user fee exemptions and waivers at facilities was found to be a weakness. This proves that while PHC strategies are supported by health policy, policy goals are not always realized. Consequently, in the midst of a decentralized health system, local autonomy is needed to ensure that efforts across all levels are working towards improved access in the delivery of PHC.</w:t>
      </w:r>
    </w:p>
    <w:p w14:paraId="3936FEA0" w14:textId="0394758B" w:rsidR="0010715B" w:rsidRPr="004C04D9" w:rsidRDefault="0010715B" w:rsidP="00000C3F">
      <w:pPr>
        <w:rPr>
          <w:rFonts w:ascii="Times New Roman" w:hAnsi="Times New Roman"/>
          <w:sz w:val="24"/>
        </w:rPr>
      </w:pPr>
      <w:r w:rsidRPr="004C04D9">
        <w:rPr>
          <w:rFonts w:ascii="Times New Roman" w:hAnsi="Times New Roman"/>
          <w:bCs/>
          <w:sz w:val="24"/>
        </w:rPr>
        <w:br w:type="page"/>
      </w:r>
    </w:p>
    <w:p w14:paraId="0DD30EF4" w14:textId="77777777" w:rsidR="0010715B" w:rsidRPr="0010128E" w:rsidRDefault="0010715B" w:rsidP="00DB0993">
      <w:pPr>
        <w:pStyle w:val="TOCHeading"/>
        <w:rPr>
          <w:rFonts w:ascii="Times New Roman" w:hAnsi="Times New Roman"/>
          <w:color w:val="auto"/>
        </w:rPr>
      </w:pPr>
      <w:r w:rsidRPr="0010128E">
        <w:rPr>
          <w:rFonts w:ascii="Times New Roman" w:hAnsi="Times New Roman"/>
          <w:color w:val="auto"/>
        </w:rPr>
        <w:t>Table of Contents</w:t>
      </w:r>
    </w:p>
    <w:p w14:paraId="5DCDAC04" w14:textId="77777777" w:rsidR="006878FC" w:rsidRPr="008B0C63" w:rsidRDefault="00EA0178">
      <w:pPr>
        <w:pStyle w:val="TOC1"/>
        <w:rPr>
          <w:rFonts w:eastAsiaTheme="minorEastAsia"/>
          <w:b w:val="0"/>
          <w:lang w:eastAsia="ja-JP"/>
        </w:rPr>
      </w:pPr>
      <w:r w:rsidRPr="008B0C63">
        <w:fldChar w:fldCharType="begin"/>
      </w:r>
      <w:r w:rsidR="0010715B" w:rsidRPr="008B0C63">
        <w:instrText xml:space="preserve"> TOC \o "1-3" \h \z \u </w:instrText>
      </w:r>
      <w:r w:rsidRPr="008B0C63">
        <w:fldChar w:fldCharType="separate"/>
      </w:r>
      <w:r w:rsidR="006878FC" w:rsidRPr="008B0C63">
        <w:t>Abbreviations</w:t>
      </w:r>
      <w:r w:rsidR="006878FC" w:rsidRPr="008B0C63">
        <w:tab/>
      </w:r>
      <w:r w:rsidR="006878FC" w:rsidRPr="008B0C63">
        <w:fldChar w:fldCharType="begin"/>
      </w:r>
      <w:r w:rsidR="006878FC" w:rsidRPr="008B0C63">
        <w:instrText xml:space="preserve"> PAGEREF _Toc206320768 \h </w:instrText>
      </w:r>
      <w:r w:rsidR="006878FC" w:rsidRPr="008B0C63">
        <w:fldChar w:fldCharType="separate"/>
      </w:r>
      <w:r w:rsidR="0039454B">
        <w:t>5</w:t>
      </w:r>
      <w:r w:rsidR="006878FC" w:rsidRPr="008B0C63">
        <w:fldChar w:fldCharType="end"/>
      </w:r>
    </w:p>
    <w:p w14:paraId="364CF969" w14:textId="77777777" w:rsidR="006878FC" w:rsidRPr="008B0C63" w:rsidRDefault="006878FC">
      <w:pPr>
        <w:pStyle w:val="TOC1"/>
        <w:rPr>
          <w:rFonts w:eastAsiaTheme="minorEastAsia"/>
          <w:b w:val="0"/>
          <w:lang w:eastAsia="ja-JP"/>
        </w:rPr>
      </w:pPr>
      <w:r w:rsidRPr="008B0C63">
        <w:t>Introduction</w:t>
      </w:r>
      <w:r w:rsidRPr="008B0C63">
        <w:tab/>
      </w:r>
      <w:r w:rsidRPr="008B0C63">
        <w:fldChar w:fldCharType="begin"/>
      </w:r>
      <w:r w:rsidRPr="008B0C63">
        <w:instrText xml:space="preserve"> PAGEREF _Toc206320769 \h </w:instrText>
      </w:r>
      <w:r w:rsidRPr="008B0C63">
        <w:fldChar w:fldCharType="separate"/>
      </w:r>
      <w:r w:rsidR="0039454B">
        <w:t>6</w:t>
      </w:r>
      <w:r w:rsidRPr="008B0C63">
        <w:fldChar w:fldCharType="end"/>
      </w:r>
    </w:p>
    <w:p w14:paraId="4208F076" w14:textId="77777777" w:rsidR="006878FC" w:rsidRPr="008B0C63" w:rsidRDefault="006878FC">
      <w:pPr>
        <w:pStyle w:val="TOC1"/>
        <w:rPr>
          <w:rFonts w:eastAsiaTheme="minorEastAsia"/>
          <w:b w:val="0"/>
          <w:lang w:eastAsia="ja-JP"/>
        </w:rPr>
      </w:pPr>
      <w:r w:rsidRPr="008B0C63">
        <w:t>Background on Tanzania’s Health System</w:t>
      </w:r>
      <w:r w:rsidRPr="008B0C63">
        <w:tab/>
      </w:r>
      <w:r w:rsidRPr="008B0C63">
        <w:fldChar w:fldCharType="begin"/>
      </w:r>
      <w:r w:rsidRPr="008B0C63">
        <w:instrText xml:space="preserve"> PAGEREF _Toc206320770 \h </w:instrText>
      </w:r>
      <w:r w:rsidRPr="008B0C63">
        <w:fldChar w:fldCharType="separate"/>
      </w:r>
      <w:r w:rsidR="0039454B">
        <w:t>9</w:t>
      </w:r>
      <w:r w:rsidRPr="008B0C63">
        <w:fldChar w:fldCharType="end"/>
      </w:r>
    </w:p>
    <w:p w14:paraId="6BFDA4FF"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Health Policy</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_Toc206320771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9</w:t>
      </w:r>
      <w:r w:rsidRPr="008B0C63">
        <w:rPr>
          <w:rFonts w:ascii="Times New Roman" w:hAnsi="Times New Roman"/>
          <w:noProof/>
        </w:rPr>
        <w:fldChar w:fldCharType="end"/>
      </w:r>
    </w:p>
    <w:p w14:paraId="7CAFCB6F"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Health System Structure</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_Toc206320772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10</w:t>
      </w:r>
      <w:r w:rsidRPr="008B0C63">
        <w:rPr>
          <w:rFonts w:ascii="Times New Roman" w:hAnsi="Times New Roman"/>
          <w:noProof/>
        </w:rPr>
        <w:fldChar w:fldCharType="end"/>
      </w:r>
    </w:p>
    <w:p w14:paraId="7F1C6AD0" w14:textId="77777777" w:rsidR="006878FC" w:rsidRPr="008B0C63" w:rsidRDefault="006878FC">
      <w:pPr>
        <w:pStyle w:val="TOC1"/>
        <w:rPr>
          <w:rFonts w:eastAsiaTheme="minorEastAsia"/>
          <w:b w:val="0"/>
          <w:lang w:eastAsia="ja-JP"/>
        </w:rPr>
      </w:pPr>
      <w:r w:rsidRPr="008B0C63">
        <w:t>Primary Health Care: A Review of the Literature</w:t>
      </w:r>
      <w:r w:rsidRPr="008B0C63">
        <w:tab/>
      </w:r>
      <w:r w:rsidRPr="008B0C63">
        <w:fldChar w:fldCharType="begin"/>
      </w:r>
      <w:r w:rsidRPr="008B0C63">
        <w:instrText xml:space="preserve"> PAGEREF _Toc206320773 \h </w:instrText>
      </w:r>
      <w:r w:rsidRPr="008B0C63">
        <w:fldChar w:fldCharType="separate"/>
      </w:r>
      <w:r w:rsidR="0039454B">
        <w:t>13</w:t>
      </w:r>
      <w:r w:rsidRPr="008B0C63">
        <w:fldChar w:fldCharType="end"/>
      </w:r>
      <w:bookmarkStart w:id="0" w:name="_GoBack"/>
      <w:bookmarkEnd w:id="0"/>
    </w:p>
    <w:p w14:paraId="003AB9C2"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Equity</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_Toc206320774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13</w:t>
      </w:r>
      <w:r w:rsidRPr="008B0C63">
        <w:rPr>
          <w:rFonts w:ascii="Times New Roman" w:hAnsi="Times New Roman"/>
          <w:noProof/>
        </w:rPr>
        <w:fldChar w:fldCharType="end"/>
      </w:r>
    </w:p>
    <w:p w14:paraId="67F4F541"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Primary Health Care in Other Countries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_Toc206320775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15</w:t>
      </w:r>
      <w:r w:rsidRPr="008B0C63">
        <w:rPr>
          <w:rFonts w:ascii="Times New Roman" w:hAnsi="Times New Roman"/>
          <w:noProof/>
        </w:rPr>
        <w:fldChar w:fldCharType="end"/>
      </w:r>
    </w:p>
    <w:p w14:paraId="3B71BE25" w14:textId="77777777" w:rsidR="006878FC" w:rsidRPr="008B0C63" w:rsidRDefault="006878FC">
      <w:pPr>
        <w:pStyle w:val="TOC1"/>
        <w:rPr>
          <w:rFonts w:eastAsiaTheme="minorEastAsia"/>
          <w:b w:val="0"/>
          <w:lang w:eastAsia="ja-JP"/>
        </w:rPr>
      </w:pPr>
      <w:r w:rsidRPr="008B0C63">
        <w:t>Methods</w:t>
      </w:r>
      <w:r w:rsidRPr="008B0C63">
        <w:tab/>
      </w:r>
      <w:r w:rsidRPr="008B0C63">
        <w:fldChar w:fldCharType="begin"/>
      </w:r>
      <w:r w:rsidRPr="008B0C63">
        <w:instrText xml:space="preserve"> PAGEREF _Toc206320776 \h </w:instrText>
      </w:r>
      <w:r w:rsidRPr="008B0C63">
        <w:fldChar w:fldCharType="separate"/>
      </w:r>
      <w:r w:rsidR="0039454B">
        <w:t>19</w:t>
      </w:r>
      <w:r w:rsidRPr="008B0C63">
        <w:fldChar w:fldCharType="end"/>
      </w:r>
    </w:p>
    <w:p w14:paraId="15985927" w14:textId="77777777" w:rsidR="006878FC" w:rsidRPr="008B0C63" w:rsidRDefault="006878FC">
      <w:pPr>
        <w:pStyle w:val="TOC1"/>
        <w:rPr>
          <w:rFonts w:eastAsiaTheme="minorEastAsia"/>
          <w:b w:val="0"/>
          <w:lang w:eastAsia="ja-JP"/>
        </w:rPr>
      </w:pPr>
      <w:r w:rsidRPr="008B0C63">
        <w:t>Findings</w:t>
      </w:r>
      <w:r w:rsidRPr="008B0C63">
        <w:tab/>
      </w:r>
      <w:r w:rsidRPr="008B0C63">
        <w:fldChar w:fldCharType="begin"/>
      </w:r>
      <w:r w:rsidRPr="008B0C63">
        <w:instrText xml:space="preserve"> PAGEREF _Toc206320777 \h </w:instrText>
      </w:r>
      <w:r w:rsidRPr="008B0C63">
        <w:fldChar w:fldCharType="separate"/>
      </w:r>
      <w:r w:rsidR="0039454B">
        <w:t>21</w:t>
      </w:r>
      <w:r w:rsidRPr="008B0C63">
        <w:fldChar w:fldCharType="end"/>
      </w:r>
    </w:p>
    <w:p w14:paraId="10A0DA21"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Main Players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_Toc206320778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21</w:t>
      </w:r>
      <w:r w:rsidRPr="008B0C63">
        <w:rPr>
          <w:rFonts w:ascii="Times New Roman" w:hAnsi="Times New Roman"/>
          <w:noProof/>
        </w:rPr>
        <w:fldChar w:fldCharType="end"/>
      </w:r>
    </w:p>
    <w:p w14:paraId="05DCD6DE" w14:textId="77777777" w:rsidR="006878FC" w:rsidRPr="008B0C63" w:rsidRDefault="006878FC">
      <w:pPr>
        <w:pStyle w:val="TOC3"/>
        <w:tabs>
          <w:tab w:val="right" w:leader="dot" w:pos="9350"/>
        </w:tabs>
        <w:rPr>
          <w:rFonts w:ascii="Times New Roman" w:eastAsiaTheme="minorEastAsia" w:hAnsi="Times New Roman"/>
          <w:noProof/>
          <w:sz w:val="24"/>
          <w:szCs w:val="24"/>
          <w:lang w:eastAsia="ja-JP"/>
        </w:rPr>
      </w:pPr>
      <w:r w:rsidRPr="008B0C63">
        <w:rPr>
          <w:rFonts w:ascii="Times New Roman" w:hAnsi="Times New Roman"/>
          <w:noProof/>
        </w:rPr>
        <w:t>Government</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_Toc206320779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21</w:t>
      </w:r>
      <w:r w:rsidRPr="008B0C63">
        <w:rPr>
          <w:rFonts w:ascii="Times New Roman" w:hAnsi="Times New Roman"/>
          <w:noProof/>
        </w:rPr>
        <w:fldChar w:fldCharType="end"/>
      </w:r>
    </w:p>
    <w:p w14:paraId="042BC2F1" w14:textId="77777777" w:rsidR="006878FC" w:rsidRPr="008B0C63" w:rsidRDefault="006878FC">
      <w:pPr>
        <w:pStyle w:val="TOC3"/>
        <w:tabs>
          <w:tab w:val="right" w:leader="dot" w:pos="9350"/>
        </w:tabs>
        <w:rPr>
          <w:rFonts w:ascii="Times New Roman" w:eastAsiaTheme="minorEastAsia" w:hAnsi="Times New Roman"/>
          <w:noProof/>
          <w:sz w:val="24"/>
          <w:szCs w:val="24"/>
          <w:lang w:eastAsia="ja-JP"/>
        </w:rPr>
      </w:pPr>
      <w:r w:rsidRPr="008B0C63">
        <w:rPr>
          <w:rFonts w:ascii="Times New Roman" w:hAnsi="Times New Roman"/>
          <w:noProof/>
        </w:rPr>
        <w:t>Faith-Based Organizations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_Toc206320780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21</w:t>
      </w:r>
      <w:r w:rsidRPr="008B0C63">
        <w:rPr>
          <w:rFonts w:ascii="Times New Roman" w:hAnsi="Times New Roman"/>
          <w:noProof/>
        </w:rPr>
        <w:fldChar w:fldCharType="end"/>
      </w:r>
    </w:p>
    <w:p w14:paraId="1DE2452F" w14:textId="77777777" w:rsidR="006878FC" w:rsidRPr="008B0C63" w:rsidRDefault="006878FC">
      <w:pPr>
        <w:pStyle w:val="TOC3"/>
        <w:tabs>
          <w:tab w:val="right" w:leader="dot" w:pos="9350"/>
        </w:tabs>
        <w:rPr>
          <w:rFonts w:ascii="Times New Roman" w:eastAsiaTheme="minorEastAsia" w:hAnsi="Times New Roman"/>
          <w:noProof/>
          <w:sz w:val="24"/>
          <w:szCs w:val="24"/>
          <w:lang w:eastAsia="ja-JP"/>
        </w:rPr>
      </w:pPr>
      <w:r w:rsidRPr="008B0C63">
        <w:rPr>
          <w:rFonts w:ascii="Times New Roman" w:hAnsi="Times New Roman"/>
          <w:noProof/>
        </w:rPr>
        <w:t>Private Sector</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_Toc206320781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22</w:t>
      </w:r>
      <w:r w:rsidRPr="008B0C63">
        <w:rPr>
          <w:rFonts w:ascii="Times New Roman" w:hAnsi="Times New Roman"/>
          <w:noProof/>
        </w:rPr>
        <w:fldChar w:fldCharType="end"/>
      </w:r>
    </w:p>
    <w:p w14:paraId="0C84E74E"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Findings: Tanzania’s Health Care System</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_Toc206320782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23</w:t>
      </w:r>
      <w:r w:rsidRPr="008B0C63">
        <w:rPr>
          <w:rFonts w:ascii="Times New Roman" w:hAnsi="Times New Roman"/>
          <w:noProof/>
        </w:rPr>
        <w:fldChar w:fldCharType="end"/>
      </w:r>
    </w:p>
    <w:p w14:paraId="61AA5CE5" w14:textId="77777777" w:rsidR="006878FC" w:rsidRPr="008B0C63" w:rsidRDefault="006878FC">
      <w:pPr>
        <w:pStyle w:val="TOC3"/>
        <w:tabs>
          <w:tab w:val="right" w:leader="dot" w:pos="9350"/>
        </w:tabs>
        <w:rPr>
          <w:rFonts w:ascii="Times New Roman" w:eastAsiaTheme="minorEastAsia" w:hAnsi="Times New Roman"/>
          <w:noProof/>
          <w:sz w:val="24"/>
          <w:szCs w:val="24"/>
          <w:lang w:eastAsia="ja-JP"/>
        </w:rPr>
      </w:pPr>
      <w:r w:rsidRPr="008B0C63">
        <w:rPr>
          <w:rFonts w:ascii="Times New Roman" w:hAnsi="Times New Roman"/>
          <w:noProof/>
        </w:rPr>
        <w:t>Decentralization</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_Toc206320783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23</w:t>
      </w:r>
      <w:r w:rsidRPr="008B0C63">
        <w:rPr>
          <w:rFonts w:ascii="Times New Roman" w:hAnsi="Times New Roman"/>
          <w:noProof/>
        </w:rPr>
        <w:fldChar w:fldCharType="end"/>
      </w:r>
    </w:p>
    <w:p w14:paraId="5FBABAEB" w14:textId="77777777" w:rsidR="006878FC" w:rsidRPr="008B0C63" w:rsidRDefault="006878FC">
      <w:pPr>
        <w:pStyle w:val="TOC3"/>
        <w:tabs>
          <w:tab w:val="right" w:leader="dot" w:pos="9350"/>
        </w:tabs>
        <w:rPr>
          <w:rFonts w:ascii="Times New Roman" w:eastAsiaTheme="minorEastAsia" w:hAnsi="Times New Roman"/>
          <w:noProof/>
          <w:sz w:val="24"/>
          <w:szCs w:val="24"/>
          <w:lang w:eastAsia="ja-JP"/>
        </w:rPr>
      </w:pPr>
      <w:r w:rsidRPr="008B0C63">
        <w:rPr>
          <w:rFonts w:ascii="Times New Roman" w:hAnsi="Times New Roman"/>
          <w:noProof/>
        </w:rPr>
        <w:t>User Fees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_Toc206320784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26</w:t>
      </w:r>
      <w:r w:rsidRPr="008B0C63">
        <w:rPr>
          <w:rFonts w:ascii="Times New Roman" w:hAnsi="Times New Roman"/>
          <w:noProof/>
        </w:rPr>
        <w:fldChar w:fldCharType="end"/>
      </w:r>
    </w:p>
    <w:p w14:paraId="19A1C1A2" w14:textId="77777777" w:rsidR="006878FC" w:rsidRPr="008B0C63" w:rsidRDefault="006878FC">
      <w:pPr>
        <w:pStyle w:val="TOC3"/>
        <w:tabs>
          <w:tab w:val="right" w:leader="dot" w:pos="9350"/>
        </w:tabs>
        <w:rPr>
          <w:rFonts w:ascii="Times New Roman" w:eastAsiaTheme="minorEastAsia" w:hAnsi="Times New Roman"/>
          <w:noProof/>
          <w:sz w:val="24"/>
          <w:szCs w:val="24"/>
          <w:lang w:eastAsia="ja-JP"/>
        </w:rPr>
      </w:pPr>
      <w:r w:rsidRPr="008B0C63">
        <w:rPr>
          <w:rFonts w:ascii="Times New Roman" w:hAnsi="Times New Roman"/>
          <w:noProof/>
        </w:rPr>
        <w:t>Service Provision—Public-Private Partnerships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_Toc206320785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32</w:t>
      </w:r>
      <w:r w:rsidRPr="008B0C63">
        <w:rPr>
          <w:rFonts w:ascii="Times New Roman" w:hAnsi="Times New Roman"/>
          <w:noProof/>
        </w:rPr>
        <w:fldChar w:fldCharType="end"/>
      </w:r>
    </w:p>
    <w:p w14:paraId="6D8E2BC8"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Findings: Changes in Health Status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_Toc206320786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40</w:t>
      </w:r>
      <w:r w:rsidRPr="008B0C63">
        <w:rPr>
          <w:rFonts w:ascii="Times New Roman" w:hAnsi="Times New Roman"/>
          <w:noProof/>
        </w:rPr>
        <w:fldChar w:fldCharType="end"/>
      </w:r>
    </w:p>
    <w:p w14:paraId="02327FE3"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Findings: Comparison to Other Sub-Saharan African Countries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_Toc206320787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43</w:t>
      </w:r>
      <w:r w:rsidRPr="008B0C63">
        <w:rPr>
          <w:rFonts w:ascii="Times New Roman" w:hAnsi="Times New Roman"/>
          <w:noProof/>
        </w:rPr>
        <w:fldChar w:fldCharType="end"/>
      </w:r>
    </w:p>
    <w:p w14:paraId="6660CE0D"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Findings: Limitations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_Toc206320788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45</w:t>
      </w:r>
      <w:r w:rsidRPr="008B0C63">
        <w:rPr>
          <w:rFonts w:ascii="Times New Roman" w:hAnsi="Times New Roman"/>
          <w:noProof/>
        </w:rPr>
        <w:fldChar w:fldCharType="end"/>
      </w:r>
    </w:p>
    <w:p w14:paraId="2ACDB778" w14:textId="77777777" w:rsidR="006878FC" w:rsidRPr="008B0C63" w:rsidRDefault="006878FC">
      <w:pPr>
        <w:pStyle w:val="TOC1"/>
        <w:rPr>
          <w:rFonts w:eastAsiaTheme="minorEastAsia"/>
          <w:b w:val="0"/>
          <w:lang w:eastAsia="ja-JP"/>
        </w:rPr>
      </w:pPr>
      <w:r w:rsidRPr="008B0C63">
        <w:t>Conclusion—Lessons learned from Tanzania</w:t>
      </w:r>
      <w:r w:rsidRPr="008B0C63">
        <w:tab/>
      </w:r>
      <w:r w:rsidRPr="008B0C63">
        <w:fldChar w:fldCharType="begin"/>
      </w:r>
      <w:r w:rsidRPr="008B0C63">
        <w:instrText xml:space="preserve"> PAGEREF _Toc206320789 \h </w:instrText>
      </w:r>
      <w:r w:rsidRPr="008B0C63">
        <w:fldChar w:fldCharType="separate"/>
      </w:r>
      <w:r w:rsidR="0039454B">
        <w:t>46</w:t>
      </w:r>
      <w:r w:rsidRPr="008B0C63">
        <w:fldChar w:fldCharType="end"/>
      </w:r>
    </w:p>
    <w:p w14:paraId="310452E8" w14:textId="77777777" w:rsidR="006878FC" w:rsidRPr="008B0C63" w:rsidRDefault="006878FC">
      <w:pPr>
        <w:pStyle w:val="TOC1"/>
        <w:rPr>
          <w:rFonts w:eastAsiaTheme="minorEastAsia"/>
          <w:b w:val="0"/>
          <w:lang w:eastAsia="ja-JP"/>
        </w:rPr>
      </w:pPr>
      <w:r w:rsidRPr="008B0C63">
        <w:t>References</w:t>
      </w:r>
      <w:r w:rsidRPr="008B0C63">
        <w:tab/>
      </w:r>
      <w:r w:rsidRPr="008B0C63">
        <w:fldChar w:fldCharType="begin"/>
      </w:r>
      <w:r w:rsidRPr="008B0C63">
        <w:instrText xml:space="preserve"> PAGEREF _Toc206320790 \h </w:instrText>
      </w:r>
      <w:r w:rsidRPr="008B0C63">
        <w:fldChar w:fldCharType="separate"/>
      </w:r>
      <w:r w:rsidR="0039454B">
        <w:t>49</w:t>
      </w:r>
      <w:r w:rsidRPr="008B0C63">
        <w:fldChar w:fldCharType="end"/>
      </w:r>
    </w:p>
    <w:p w14:paraId="0DED5FBB" w14:textId="77777777" w:rsidR="006878FC" w:rsidRPr="008B0C63" w:rsidRDefault="006878FC">
      <w:pPr>
        <w:pStyle w:val="TOC1"/>
        <w:rPr>
          <w:rFonts w:eastAsiaTheme="minorEastAsia"/>
          <w:b w:val="0"/>
          <w:lang w:eastAsia="ja-JP"/>
        </w:rPr>
      </w:pPr>
      <w:r w:rsidRPr="008B0C63">
        <w:t>Appendices</w:t>
      </w:r>
      <w:r w:rsidRPr="008B0C63">
        <w:tab/>
      </w:r>
      <w:r w:rsidRPr="008B0C63">
        <w:fldChar w:fldCharType="begin"/>
      </w:r>
      <w:r w:rsidRPr="008B0C63">
        <w:instrText xml:space="preserve"> PAGEREF _Toc206320791 \h </w:instrText>
      </w:r>
      <w:r w:rsidRPr="008B0C63">
        <w:fldChar w:fldCharType="separate"/>
      </w:r>
      <w:r w:rsidR="0039454B">
        <w:t>54</w:t>
      </w:r>
      <w:r w:rsidRPr="008B0C63">
        <w:fldChar w:fldCharType="end"/>
      </w:r>
    </w:p>
    <w:p w14:paraId="667E4D6B"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Appendix 1: Number of Health Facilities by Type and Provider, 2006</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_Toc206320792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54</w:t>
      </w:r>
      <w:r w:rsidRPr="008B0C63">
        <w:rPr>
          <w:rFonts w:ascii="Times New Roman" w:hAnsi="Times New Roman"/>
          <w:noProof/>
        </w:rPr>
        <w:fldChar w:fldCharType="end"/>
      </w:r>
    </w:p>
    <w:p w14:paraId="166CDC76"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Appendix 2: Timeline of PHC Policy</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_Toc206320793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55</w:t>
      </w:r>
      <w:r w:rsidRPr="008B0C63">
        <w:rPr>
          <w:rFonts w:ascii="Times New Roman" w:hAnsi="Times New Roman"/>
          <w:noProof/>
        </w:rPr>
        <w:fldChar w:fldCharType="end"/>
      </w:r>
    </w:p>
    <w:p w14:paraId="6952657E" w14:textId="77777777" w:rsidR="006878FC" w:rsidRPr="008B0C63" w:rsidRDefault="006878FC">
      <w:pPr>
        <w:pStyle w:val="TOC2"/>
        <w:tabs>
          <w:tab w:val="right" w:leader="dot" w:pos="9350"/>
        </w:tabs>
        <w:rPr>
          <w:rFonts w:ascii="Times New Roman" w:eastAsiaTheme="minorEastAsia" w:hAnsi="Times New Roman"/>
          <w:b w:val="0"/>
          <w:noProof/>
          <w:sz w:val="24"/>
          <w:szCs w:val="24"/>
          <w:lang w:eastAsia="ja-JP"/>
        </w:rPr>
      </w:pPr>
      <w:r w:rsidRPr="008B0C63">
        <w:rPr>
          <w:rFonts w:ascii="Times New Roman" w:hAnsi="Times New Roman"/>
          <w:noProof/>
        </w:rPr>
        <w:t>Appendix 3: Comparison of Select Tanzanian Health Indicators to Other Sub-Saharan African Countries</w:t>
      </w:r>
      <w:r w:rsidRPr="008B0C63">
        <w:rPr>
          <w:rFonts w:ascii="Times New Roman" w:hAnsi="Times New Roman"/>
          <w:noProof/>
        </w:rPr>
        <w:tab/>
      </w:r>
      <w:r w:rsidRPr="008B0C63">
        <w:rPr>
          <w:rFonts w:ascii="Times New Roman" w:hAnsi="Times New Roman"/>
          <w:noProof/>
        </w:rPr>
        <w:fldChar w:fldCharType="begin"/>
      </w:r>
      <w:r w:rsidRPr="008B0C63">
        <w:rPr>
          <w:rFonts w:ascii="Times New Roman" w:hAnsi="Times New Roman"/>
          <w:noProof/>
        </w:rPr>
        <w:instrText xml:space="preserve"> PAGEREF _Toc206320794 \h </w:instrText>
      </w:r>
      <w:r w:rsidRPr="008B0C63">
        <w:rPr>
          <w:rFonts w:ascii="Times New Roman" w:hAnsi="Times New Roman"/>
          <w:noProof/>
        </w:rPr>
      </w:r>
      <w:r w:rsidRPr="008B0C63">
        <w:rPr>
          <w:rFonts w:ascii="Times New Roman" w:hAnsi="Times New Roman"/>
          <w:noProof/>
        </w:rPr>
        <w:fldChar w:fldCharType="separate"/>
      </w:r>
      <w:r w:rsidR="0039454B">
        <w:rPr>
          <w:rFonts w:ascii="Times New Roman" w:hAnsi="Times New Roman"/>
          <w:noProof/>
        </w:rPr>
        <w:t>57</w:t>
      </w:r>
      <w:r w:rsidRPr="008B0C63">
        <w:rPr>
          <w:rFonts w:ascii="Times New Roman" w:hAnsi="Times New Roman"/>
          <w:noProof/>
        </w:rPr>
        <w:fldChar w:fldCharType="end"/>
      </w:r>
    </w:p>
    <w:p w14:paraId="1C9B8A56" w14:textId="77777777" w:rsidR="0010715B" w:rsidRPr="008B0C63" w:rsidRDefault="00EA0178">
      <w:pPr>
        <w:rPr>
          <w:rFonts w:ascii="Times New Roman" w:hAnsi="Times New Roman"/>
          <w:bCs/>
          <w:noProof/>
          <w:sz w:val="24"/>
        </w:rPr>
      </w:pPr>
      <w:r w:rsidRPr="008B0C63">
        <w:rPr>
          <w:rFonts w:ascii="Times New Roman" w:hAnsi="Times New Roman"/>
          <w:bCs/>
          <w:noProof/>
          <w:sz w:val="24"/>
        </w:rPr>
        <w:fldChar w:fldCharType="end"/>
      </w:r>
    </w:p>
    <w:p w14:paraId="009F5DAF" w14:textId="77777777" w:rsidR="0010715B" w:rsidRPr="0010128E" w:rsidRDefault="0010715B" w:rsidP="00DB0993">
      <w:pPr>
        <w:pStyle w:val="Heading1"/>
        <w:rPr>
          <w:rFonts w:ascii="Times New Roman" w:hAnsi="Times New Roman"/>
        </w:rPr>
        <w:sectPr w:rsidR="0010715B" w:rsidRPr="0010128E" w:rsidSect="00AA077E">
          <w:footerReference w:type="even" r:id="rId10"/>
          <w:footerReference w:type="default" r:id="rId11"/>
          <w:pgSz w:w="12240" w:h="15840"/>
          <w:pgMar w:top="1440" w:right="1440" w:bottom="1440" w:left="1440" w:header="720" w:footer="720" w:gutter="0"/>
          <w:cols w:space="720"/>
          <w:titlePg/>
          <w:docGrid w:linePitch="360"/>
        </w:sectPr>
      </w:pPr>
    </w:p>
    <w:p w14:paraId="786ADEF5" w14:textId="6F9B5D54" w:rsidR="006878FC" w:rsidRPr="006878FC" w:rsidRDefault="006878FC" w:rsidP="006878FC">
      <w:pPr>
        <w:pStyle w:val="Heading1"/>
        <w:rPr>
          <w:rFonts w:ascii="Times New Roman" w:hAnsi="Times New Roman"/>
        </w:rPr>
      </w:pPr>
      <w:bookmarkStart w:id="1" w:name="_Toc206320768"/>
      <w:r>
        <w:rPr>
          <w:rFonts w:ascii="Times New Roman" w:hAnsi="Times New Roman"/>
        </w:rPr>
        <w:t>Abbreviations</w:t>
      </w:r>
      <w:bookmarkEnd w:id="1"/>
    </w:p>
    <w:tbl>
      <w:tblPr>
        <w:tblW w:w="6601" w:type="dxa"/>
        <w:tblLayout w:type="fixed"/>
        <w:tblCellMar>
          <w:left w:w="0" w:type="dxa"/>
          <w:right w:w="0" w:type="dxa"/>
        </w:tblCellMar>
        <w:tblLook w:val="04A0" w:firstRow="1" w:lastRow="0" w:firstColumn="1" w:lastColumn="0" w:noHBand="0" w:noVBand="1"/>
      </w:tblPr>
      <w:tblGrid>
        <w:gridCol w:w="1545"/>
        <w:gridCol w:w="5056"/>
      </w:tblGrid>
      <w:tr w:rsidR="006878FC" w14:paraId="31F77DB8"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0FFA4B04"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ANC</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101C8A6F"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Antenatal Care</w:t>
            </w:r>
          </w:p>
        </w:tc>
      </w:tr>
      <w:tr w:rsidR="006878FC" w14:paraId="041E7AA0"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7E9EDAED"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APHFTA</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2F41A332"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Association Of Private Health Facilities In Tanzania</w:t>
            </w:r>
          </w:p>
        </w:tc>
      </w:tr>
      <w:tr w:rsidR="006878FC" w14:paraId="333C9778"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0530E37"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CHF</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2D550F66"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Community Health Fund</w:t>
            </w:r>
          </w:p>
        </w:tc>
      </w:tr>
      <w:tr w:rsidR="006878FC" w14:paraId="3878A555"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368BA126"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CHMT</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25B1FE61"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Council Health Management Teams</w:t>
            </w:r>
          </w:p>
        </w:tc>
      </w:tr>
      <w:tr w:rsidR="006878FC" w14:paraId="5B347EDA"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076B7C68"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CSSC</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4190630B"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Christian Social Service Commission</w:t>
            </w:r>
          </w:p>
        </w:tc>
      </w:tr>
      <w:tr w:rsidR="006878FC" w14:paraId="76524379"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07F35394"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DHMT</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1CDA1B33"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District Health Management Team</w:t>
            </w:r>
          </w:p>
        </w:tc>
      </w:tr>
      <w:tr w:rsidR="006878FC" w14:paraId="6B609369"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CF371E4"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FBO</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32651843"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Faith-Based Organization</w:t>
            </w:r>
          </w:p>
        </w:tc>
      </w:tr>
      <w:tr w:rsidR="006878FC" w14:paraId="492070B8"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73041183"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HSR</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7E20BDDB"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Health Sector Reforms</w:t>
            </w:r>
          </w:p>
        </w:tc>
      </w:tr>
      <w:tr w:rsidR="006878FC" w14:paraId="2AC56821"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7C912DEA"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LGA</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689B5980"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Local Government Authorities</w:t>
            </w:r>
          </w:p>
        </w:tc>
      </w:tr>
      <w:tr w:rsidR="006878FC" w14:paraId="3A962393"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723891A7"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MOHSW</w:t>
            </w:r>
          </w:p>
        </w:tc>
        <w:tc>
          <w:tcPr>
            <w:tcW w:w="5056" w:type="dxa"/>
            <w:tcBorders>
              <w:top w:val="nil"/>
              <w:left w:val="nil"/>
              <w:bottom w:val="nil"/>
              <w:right w:val="nil"/>
            </w:tcBorders>
            <w:shd w:val="clear" w:color="000000" w:fill="auto"/>
            <w:noWrap/>
            <w:tcMar>
              <w:top w:w="15" w:type="dxa"/>
              <w:left w:w="15" w:type="dxa"/>
              <w:bottom w:w="0" w:type="dxa"/>
              <w:right w:w="15" w:type="dxa"/>
            </w:tcMar>
            <w:vAlign w:val="bottom"/>
            <w:hideMark/>
          </w:tcPr>
          <w:p w14:paraId="7F38A16F"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Ministry Of Health And Social Welfare</w:t>
            </w:r>
          </w:p>
        </w:tc>
      </w:tr>
      <w:tr w:rsidR="006878FC" w14:paraId="3461A614"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CDF88CF"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NGO</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16902ED7" w14:textId="77777777" w:rsidR="006878FC" w:rsidRPr="006376F9" w:rsidRDefault="006878FC" w:rsidP="006878FC">
            <w:pPr>
              <w:ind w:left="410" w:hanging="410"/>
              <w:rPr>
                <w:rFonts w:ascii="Times New Roman" w:eastAsia="Times New Roman" w:hAnsi="Times New Roman"/>
                <w:color w:val="000000"/>
                <w:sz w:val="24"/>
              </w:rPr>
            </w:pPr>
            <w:r w:rsidRPr="006376F9">
              <w:rPr>
                <w:rFonts w:ascii="Times New Roman" w:eastAsia="Times New Roman" w:hAnsi="Times New Roman"/>
                <w:color w:val="000000"/>
                <w:sz w:val="24"/>
              </w:rPr>
              <w:t>Nongovernmental Organization</w:t>
            </w:r>
          </w:p>
        </w:tc>
      </w:tr>
      <w:tr w:rsidR="006878FC" w14:paraId="120397AE"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12D1B0B"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NHIF</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5A733D4D"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National Health Insurance Fund</w:t>
            </w:r>
          </w:p>
        </w:tc>
      </w:tr>
      <w:tr w:rsidR="006878FC" w14:paraId="23EAE911"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EDEA67C"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NSSF</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2EA5A655"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National Social Security Fund</w:t>
            </w:r>
          </w:p>
        </w:tc>
      </w:tr>
      <w:tr w:rsidR="006878FC" w14:paraId="6F659EF4"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05FBF105"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OOP</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2D59F701"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Out-Of-Pocket</w:t>
            </w:r>
          </w:p>
        </w:tc>
      </w:tr>
      <w:tr w:rsidR="006878FC" w14:paraId="5DE7470B"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88FDC52"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PEPFAR</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3203FC00"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 xml:space="preserve">President’s Emergency Plan For AIDS Relief </w:t>
            </w:r>
          </w:p>
        </w:tc>
      </w:tr>
      <w:tr w:rsidR="006878FC" w14:paraId="2BF26D77"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0C9D4FEF"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PHC</w:t>
            </w:r>
          </w:p>
        </w:tc>
        <w:tc>
          <w:tcPr>
            <w:tcW w:w="5056" w:type="dxa"/>
            <w:tcBorders>
              <w:top w:val="nil"/>
              <w:left w:val="nil"/>
              <w:right w:val="nil"/>
            </w:tcBorders>
            <w:shd w:val="clear" w:color="auto" w:fill="auto"/>
            <w:noWrap/>
            <w:tcMar>
              <w:top w:w="15" w:type="dxa"/>
              <w:left w:w="15" w:type="dxa"/>
              <w:bottom w:w="0" w:type="dxa"/>
              <w:right w:w="15" w:type="dxa"/>
            </w:tcMar>
            <w:vAlign w:val="bottom"/>
            <w:hideMark/>
          </w:tcPr>
          <w:p w14:paraId="0A103CA0"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Primary Health Care</w:t>
            </w:r>
          </w:p>
        </w:tc>
      </w:tr>
      <w:tr w:rsidR="006878FC" w14:paraId="7C8D2AC2"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0E5E2F92"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PMI</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4E53B680"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 xml:space="preserve">President’s Malaria Initiative </w:t>
            </w:r>
          </w:p>
        </w:tc>
      </w:tr>
      <w:tr w:rsidR="006878FC" w14:paraId="7B314F21"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EAE41A6"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PNC</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0E1949CF"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Postnatal Care</w:t>
            </w:r>
          </w:p>
        </w:tc>
      </w:tr>
      <w:tr w:rsidR="006878FC" w14:paraId="28617719"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DB5A963"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PPP</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2D30134F"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Public-Private Partnership</w:t>
            </w:r>
          </w:p>
        </w:tc>
      </w:tr>
      <w:tr w:rsidR="006878FC" w14:paraId="29235980"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3E22B2CE"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RHMT</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54324F91"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Regional Health Management Teams</w:t>
            </w:r>
          </w:p>
        </w:tc>
      </w:tr>
      <w:tr w:rsidR="006878FC" w14:paraId="6D13F1D7" w14:textId="77777777" w:rsidTr="006878FC">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C2D4596" w14:textId="77777777" w:rsidR="006878FC" w:rsidRPr="006376F9" w:rsidRDefault="006878FC">
            <w:pPr>
              <w:rPr>
                <w:rFonts w:ascii="Times New Roman" w:eastAsia="Times New Roman" w:hAnsi="Times New Roman"/>
                <w:color w:val="000000"/>
                <w:sz w:val="24"/>
              </w:rPr>
            </w:pPr>
            <w:r w:rsidRPr="006376F9">
              <w:rPr>
                <w:rFonts w:ascii="Times New Roman" w:eastAsia="Times New Roman" w:hAnsi="Times New Roman"/>
                <w:color w:val="000000"/>
                <w:sz w:val="24"/>
              </w:rPr>
              <w:t>THE</w:t>
            </w:r>
          </w:p>
        </w:tc>
        <w:tc>
          <w:tcPr>
            <w:tcW w:w="5056" w:type="dxa"/>
            <w:tcBorders>
              <w:top w:val="nil"/>
              <w:left w:val="nil"/>
              <w:bottom w:val="nil"/>
              <w:right w:val="nil"/>
            </w:tcBorders>
            <w:shd w:val="clear" w:color="auto" w:fill="auto"/>
            <w:noWrap/>
            <w:tcMar>
              <w:top w:w="15" w:type="dxa"/>
              <w:left w:w="15" w:type="dxa"/>
              <w:bottom w:w="0" w:type="dxa"/>
              <w:right w:w="15" w:type="dxa"/>
            </w:tcMar>
            <w:vAlign w:val="bottom"/>
            <w:hideMark/>
          </w:tcPr>
          <w:p w14:paraId="7FD36D45" w14:textId="77777777" w:rsidR="006878FC" w:rsidRPr="006376F9" w:rsidRDefault="006878FC" w:rsidP="006878FC">
            <w:pPr>
              <w:ind w:left="-285" w:firstLine="285"/>
              <w:rPr>
                <w:rFonts w:ascii="Times New Roman" w:eastAsia="Times New Roman" w:hAnsi="Times New Roman"/>
                <w:color w:val="000000"/>
                <w:sz w:val="24"/>
              </w:rPr>
            </w:pPr>
            <w:r w:rsidRPr="006376F9">
              <w:rPr>
                <w:rFonts w:ascii="Times New Roman" w:eastAsia="Times New Roman" w:hAnsi="Times New Roman"/>
                <w:color w:val="000000"/>
                <w:sz w:val="24"/>
              </w:rPr>
              <w:t>Total Health Expenditure</w:t>
            </w:r>
          </w:p>
        </w:tc>
      </w:tr>
    </w:tbl>
    <w:p w14:paraId="338A5642" w14:textId="1B2A0340" w:rsidR="0010128E" w:rsidRPr="0010128E" w:rsidRDefault="006376F9" w:rsidP="0010128E">
      <w:pPr>
        <w:rPr>
          <w:rFonts w:ascii="Times New Roman" w:hAnsi="Times New Roman"/>
        </w:rPr>
      </w:pPr>
      <w:r w:rsidRPr="0010128E">
        <w:rPr>
          <w:rFonts w:ascii="Times New Roman" w:hAnsi="Times New Roman"/>
        </w:rPr>
        <w:t xml:space="preserve"> </w:t>
      </w:r>
      <w:r w:rsidR="0010128E" w:rsidRPr="0010128E">
        <w:rPr>
          <w:rFonts w:ascii="Times New Roman" w:hAnsi="Times New Roman"/>
        </w:rPr>
        <w:br w:type="page"/>
      </w:r>
    </w:p>
    <w:p w14:paraId="7CD9B453" w14:textId="78962806" w:rsidR="001C6E99" w:rsidRPr="0010128E" w:rsidRDefault="001C6E99" w:rsidP="00DB0993">
      <w:pPr>
        <w:pStyle w:val="Heading1"/>
        <w:rPr>
          <w:rFonts w:ascii="Times New Roman" w:hAnsi="Times New Roman"/>
        </w:rPr>
      </w:pPr>
      <w:bookmarkStart w:id="2" w:name="_Toc206320769"/>
      <w:r w:rsidRPr="0010128E">
        <w:rPr>
          <w:rFonts w:ascii="Times New Roman" w:hAnsi="Times New Roman"/>
        </w:rPr>
        <w:t>Introduction</w:t>
      </w:r>
      <w:bookmarkEnd w:id="2"/>
      <w:r w:rsidR="0061060E" w:rsidRPr="0010128E">
        <w:rPr>
          <w:rFonts w:ascii="Times New Roman" w:hAnsi="Times New Roman"/>
        </w:rPr>
        <w:t xml:space="preserve"> </w:t>
      </w:r>
    </w:p>
    <w:p w14:paraId="2DB37186"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The United Republic of Tanzania is one of East Africa’s most populous countries, with a population of nearly 44 million </w:t>
      </w:r>
      <w:r w:rsidRPr="0010128E">
        <w:rPr>
          <w:rFonts w:ascii="Times New Roman" w:hAnsi="Times New Roman"/>
          <w:noProof/>
          <w:sz w:val="24"/>
        </w:rPr>
        <w:t>(World Bank, 2009)</w:t>
      </w:r>
      <w:r w:rsidRPr="0010128E">
        <w:rPr>
          <w:rFonts w:ascii="Times New Roman" w:hAnsi="Times New Roman"/>
          <w:sz w:val="24"/>
        </w:rPr>
        <w:t>. The United Republic of Tanzania is also among the poorest countries in the world—with a per capita gross national income of US$600—and is ranked 162 out of 177 countries on the Human Development Index (World Bank, 2009)</w:t>
      </w:r>
      <w:r>
        <w:rPr>
          <w:rFonts w:ascii="Times New Roman" w:hAnsi="Times New Roman"/>
          <w:sz w:val="24"/>
        </w:rPr>
        <w:t xml:space="preserve">. Regardless of this poverty, </w:t>
      </w:r>
      <w:r w:rsidRPr="0010128E">
        <w:rPr>
          <w:rFonts w:ascii="Times New Roman" w:hAnsi="Times New Roman"/>
          <w:sz w:val="24"/>
        </w:rPr>
        <w:t>Tanzania</w:t>
      </w:r>
      <w:r>
        <w:rPr>
          <w:rFonts w:ascii="Times New Roman" w:hAnsi="Times New Roman"/>
          <w:sz w:val="24"/>
        </w:rPr>
        <w:t xml:space="preserve"> is</w:t>
      </w:r>
      <w:r w:rsidRPr="0010128E">
        <w:rPr>
          <w:rFonts w:ascii="Times New Roman" w:hAnsi="Times New Roman"/>
          <w:sz w:val="24"/>
        </w:rPr>
        <w:t xml:space="preserve"> considered politically stable in relation to many of its sub-Saharan African counterparts. Within the context of a peaceful, impoverished country, the Tanzanian government is one of the main players in determining the distribution of scarce resources like health care. </w:t>
      </w:r>
    </w:p>
    <w:p w14:paraId="5816F4A0"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Poor access to health care is one of the major impediments to balanced growth in rural communities worldwide (Marrone, 2007). Consequently, equitable access to primary health care is a vital component to the overall health and development of a country.</w:t>
      </w:r>
      <w:r>
        <w:rPr>
          <w:rFonts w:ascii="Times New Roman" w:hAnsi="Times New Roman"/>
          <w:sz w:val="24"/>
        </w:rPr>
        <w:t xml:space="preserve"> Since its independence in 1961</w:t>
      </w:r>
      <w:r w:rsidRPr="0010128E">
        <w:rPr>
          <w:rFonts w:ascii="Times New Roman" w:hAnsi="Times New Roman"/>
          <w:sz w:val="24"/>
        </w:rPr>
        <w:t>, Tanzania</w:t>
      </w:r>
      <w:r>
        <w:rPr>
          <w:rFonts w:ascii="Times New Roman" w:hAnsi="Times New Roman"/>
          <w:sz w:val="24"/>
        </w:rPr>
        <w:t>n</w:t>
      </w:r>
      <w:r w:rsidRPr="0010128E">
        <w:rPr>
          <w:rFonts w:ascii="Times New Roman" w:hAnsi="Times New Roman"/>
          <w:sz w:val="24"/>
        </w:rPr>
        <w:t xml:space="preserve"> health policy has established a clear objective of achieving primary health c</w:t>
      </w:r>
      <w:r>
        <w:rPr>
          <w:rFonts w:ascii="Times New Roman" w:hAnsi="Times New Roman"/>
          <w:sz w:val="24"/>
        </w:rPr>
        <w:t xml:space="preserve">are for all. Achieving this goal </w:t>
      </w:r>
      <w:r w:rsidRPr="0010128E">
        <w:rPr>
          <w:rFonts w:ascii="Times New Roman" w:hAnsi="Times New Roman"/>
          <w:sz w:val="24"/>
        </w:rPr>
        <w:t xml:space="preserve">is especially difficult considering the immense poverty, the high percentage of citizens who live in rural areas, and health care as a scarce resource. </w:t>
      </w:r>
    </w:p>
    <w:p w14:paraId="03B37AE4" w14:textId="77777777" w:rsidR="00E14841" w:rsidRPr="0010128E" w:rsidRDefault="00E14841" w:rsidP="00E14841">
      <w:pPr>
        <w:spacing w:line="480" w:lineRule="auto"/>
        <w:rPr>
          <w:rFonts w:ascii="Times New Roman" w:hAnsi="Times New Roman"/>
          <w:sz w:val="24"/>
        </w:rPr>
      </w:pPr>
      <w:r w:rsidRPr="0010128E">
        <w:rPr>
          <w:rFonts w:ascii="Times New Roman" w:hAnsi="Times New Roman"/>
          <w:sz w:val="24"/>
        </w:rPr>
        <w:tab/>
      </w:r>
      <w:r>
        <w:rPr>
          <w:rFonts w:ascii="Times New Roman" w:hAnsi="Times New Roman"/>
          <w:sz w:val="24"/>
        </w:rPr>
        <w:t>To aid in achieving primary health care for all t</w:t>
      </w:r>
      <w:r w:rsidRPr="0010128E">
        <w:rPr>
          <w:rFonts w:ascii="Times New Roman" w:hAnsi="Times New Roman"/>
          <w:sz w:val="24"/>
        </w:rPr>
        <w:t xml:space="preserve">he Tanzanian government has made it a priority to ensure everyone in the population is within 5km of a health center </w:t>
      </w:r>
      <w:r w:rsidRPr="0010128E">
        <w:rPr>
          <w:rFonts w:ascii="Times New Roman" w:hAnsi="Times New Roman"/>
          <w:noProof/>
          <w:sz w:val="24"/>
        </w:rPr>
        <w:t>(National Institute for Medical Research, 2008)</w:t>
      </w:r>
      <w:r w:rsidRPr="0010128E">
        <w:rPr>
          <w:rFonts w:ascii="Times New Roman" w:hAnsi="Times New Roman"/>
          <w:sz w:val="24"/>
        </w:rPr>
        <w:t>. However, close proximity to a health center is only one factor contributing to a healthy population.</w:t>
      </w:r>
      <w:r>
        <w:rPr>
          <w:rFonts w:ascii="Times New Roman" w:hAnsi="Times New Roman"/>
          <w:sz w:val="24"/>
        </w:rPr>
        <w:t xml:space="preserve"> </w:t>
      </w:r>
      <w:r w:rsidRPr="0010128E">
        <w:rPr>
          <w:rFonts w:ascii="Times New Roman" w:hAnsi="Times New Roman"/>
          <w:sz w:val="24"/>
        </w:rPr>
        <w:t xml:space="preserve">Cost of health services </w:t>
      </w:r>
      <w:r>
        <w:rPr>
          <w:rFonts w:ascii="Times New Roman" w:hAnsi="Times New Roman"/>
          <w:sz w:val="24"/>
        </w:rPr>
        <w:t xml:space="preserve">also </w:t>
      </w:r>
      <w:r w:rsidRPr="0010128E">
        <w:rPr>
          <w:rFonts w:ascii="Times New Roman" w:hAnsi="Times New Roman"/>
          <w:sz w:val="24"/>
        </w:rPr>
        <w:t xml:space="preserve">presents a major barrier to adequate health care. After the introduction of user fees in the 1990s, Tanzania determined that certain services should be provided free of charge, including certain preventive and maternal and child health services. This cost exemption, however, is not uniformly applied across health facilities, and varies whether a patient is visiting a private, government-run, or faith-based medical facility. </w:t>
      </w:r>
    </w:p>
    <w:p w14:paraId="177E2B5D" w14:textId="77777777" w:rsidR="00E14841" w:rsidRPr="0010128E" w:rsidRDefault="00E14841" w:rsidP="00E14841">
      <w:pPr>
        <w:spacing w:line="480" w:lineRule="auto"/>
        <w:ind w:firstLine="720"/>
        <w:rPr>
          <w:rFonts w:ascii="Times New Roman" w:hAnsi="Times New Roman"/>
          <w:sz w:val="24"/>
        </w:rPr>
      </w:pPr>
      <w:r>
        <w:rPr>
          <w:rFonts w:ascii="Times New Roman" w:hAnsi="Times New Roman"/>
          <w:sz w:val="24"/>
        </w:rPr>
        <w:t>Consequently, equitable h</w:t>
      </w:r>
      <w:r w:rsidRPr="0010128E">
        <w:rPr>
          <w:rFonts w:ascii="Times New Roman" w:hAnsi="Times New Roman"/>
          <w:sz w:val="24"/>
        </w:rPr>
        <w:t xml:space="preserve">ealth care distribution is not simply an issue left to the government to decide.  While the Tanzanian government owns about 64% of all total health facilities, other major players control the remaining facilities. These players are made up of both private-not-for-profit and private-for-profit organizations, and the private providers rely largely on government financing. </w:t>
      </w:r>
    </w:p>
    <w:p w14:paraId="5E523A8B" w14:textId="77777777" w:rsidR="00E14841"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The objective of this essay is to explore the extent to which equitable primary health care (PHC) services are available to all citizens in Tanzania. </w:t>
      </w:r>
      <w:r>
        <w:rPr>
          <w:rFonts w:ascii="Times New Roman" w:hAnsi="Times New Roman"/>
          <w:sz w:val="24"/>
        </w:rPr>
        <w:t xml:space="preserve"> Equity can be viewed in terms of equity of health service delivery and equity of health financing. For purposes of this essay, both forms are examined. </w:t>
      </w:r>
      <w:r w:rsidRPr="0010128E">
        <w:rPr>
          <w:rFonts w:ascii="Times New Roman" w:hAnsi="Times New Roman"/>
          <w:sz w:val="24"/>
        </w:rPr>
        <w:t>A secondary objective is to explore the changes in health status of key PHC-related health indicators to assess the effectiveness of Tanzania’s efforts.</w:t>
      </w:r>
      <w:r>
        <w:rPr>
          <w:rFonts w:ascii="Times New Roman" w:hAnsi="Times New Roman"/>
          <w:sz w:val="24"/>
        </w:rPr>
        <w:t xml:space="preserve"> </w:t>
      </w:r>
    </w:p>
    <w:p w14:paraId="139CC356"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What follows is a brief background on the Tanzanian health care system followed by a description of </w:t>
      </w:r>
      <w:r>
        <w:rPr>
          <w:rFonts w:ascii="Times New Roman" w:hAnsi="Times New Roman"/>
          <w:sz w:val="24"/>
        </w:rPr>
        <w:t>PHC</w:t>
      </w:r>
      <w:r w:rsidRPr="0010128E">
        <w:rPr>
          <w:rFonts w:ascii="Times New Roman" w:hAnsi="Times New Roman"/>
          <w:sz w:val="24"/>
        </w:rPr>
        <w:t xml:space="preserve"> and what other countries have done to achieve the goal of </w:t>
      </w:r>
      <w:r>
        <w:rPr>
          <w:rFonts w:ascii="Times New Roman" w:hAnsi="Times New Roman"/>
          <w:sz w:val="24"/>
        </w:rPr>
        <w:t xml:space="preserve">PHC </w:t>
      </w:r>
      <w:r w:rsidRPr="0010128E">
        <w:rPr>
          <w:rFonts w:ascii="Times New Roman" w:hAnsi="Times New Roman"/>
          <w:sz w:val="24"/>
        </w:rPr>
        <w:t xml:space="preserve">for all. This literature review includes a review of equity, as discussed in health policy literature. </w:t>
      </w:r>
      <w:r>
        <w:rPr>
          <w:rFonts w:ascii="Times New Roman" w:hAnsi="Times New Roman"/>
          <w:sz w:val="24"/>
        </w:rPr>
        <w:t xml:space="preserve">In addition to peer-reviewed research, this essay relies on government reports and </w:t>
      </w:r>
      <w:r w:rsidRPr="0010128E">
        <w:rPr>
          <w:rFonts w:ascii="Times New Roman" w:hAnsi="Times New Roman"/>
          <w:sz w:val="24"/>
        </w:rPr>
        <w:t>quantitative data from the 2006 Tanzania Service Provision Assessment Survey</w:t>
      </w:r>
      <w:r>
        <w:rPr>
          <w:rFonts w:ascii="Times New Roman" w:hAnsi="Times New Roman"/>
          <w:sz w:val="24"/>
        </w:rPr>
        <w:t xml:space="preserve">. </w:t>
      </w:r>
    </w:p>
    <w:p w14:paraId="7FFE6FBD"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Ultimately, this review found that the Tanzanian government has utilized the various PHC strategies of decentralization, user fee abolition, and contracting out of services. What remains is the question of where the Tanzanian government goes from here in their quest for PHC for all? In terms of equity in access, faith-based organizations </w:t>
      </w:r>
      <w:r>
        <w:rPr>
          <w:rFonts w:ascii="Times New Roman" w:hAnsi="Times New Roman"/>
          <w:sz w:val="24"/>
        </w:rPr>
        <w:t xml:space="preserve">have been found to be most effective, while government facilities are the most comprehensive in their provision of basic PHC services. Since faith-based organizations tend to be located in rural, hard to reach areas, they </w:t>
      </w:r>
      <w:r w:rsidRPr="0010128E">
        <w:rPr>
          <w:rFonts w:ascii="Times New Roman" w:hAnsi="Times New Roman"/>
          <w:sz w:val="24"/>
        </w:rPr>
        <w:t xml:space="preserve">can be seen as a viable way for the government to expand services, particularly reaching out to rural areas. Service level agreements formalize this arrangement by ensuring these private-not-for-profit facilities provide the necessary PHC services, incentivized through government funding. </w:t>
      </w:r>
    </w:p>
    <w:p w14:paraId="5F119A06" w14:textId="77777777" w:rsidR="00E14841" w:rsidRPr="000F00C4" w:rsidRDefault="00E14841" w:rsidP="00E14841">
      <w:pPr>
        <w:spacing w:line="480" w:lineRule="auto"/>
        <w:ind w:firstLine="720"/>
        <w:rPr>
          <w:rFonts w:ascii="Times New Roman" w:hAnsi="Times New Roman"/>
          <w:sz w:val="24"/>
        </w:rPr>
      </w:pPr>
      <w:r>
        <w:rPr>
          <w:rFonts w:ascii="Times New Roman" w:hAnsi="Times New Roman"/>
          <w:sz w:val="24"/>
        </w:rPr>
        <w:t>In terms of user fee abolition, the effectiveness of this strategy for equity in PHC remains unclear. U</w:t>
      </w:r>
      <w:r w:rsidRPr="0010128E">
        <w:rPr>
          <w:rFonts w:ascii="Times New Roman" w:hAnsi="Times New Roman"/>
          <w:sz w:val="24"/>
        </w:rPr>
        <w:t>ser fee exemptions and waivers are a step towards improved financial equity</w:t>
      </w:r>
      <w:r>
        <w:rPr>
          <w:rFonts w:ascii="Times New Roman" w:hAnsi="Times New Roman"/>
          <w:sz w:val="24"/>
        </w:rPr>
        <w:t xml:space="preserve"> and Tanzania has shown a clear decrease in out-of-pocket expenditure as a percentage of private expenditure; however,</w:t>
      </w:r>
      <w:r w:rsidRPr="0010128E">
        <w:rPr>
          <w:rFonts w:ascii="Times New Roman" w:hAnsi="Times New Roman"/>
          <w:sz w:val="24"/>
        </w:rPr>
        <w:t xml:space="preserve"> research suggests that </w:t>
      </w:r>
      <w:r>
        <w:rPr>
          <w:rFonts w:ascii="Times New Roman" w:hAnsi="Times New Roman"/>
          <w:sz w:val="24"/>
        </w:rPr>
        <w:t xml:space="preserve">many </w:t>
      </w:r>
      <w:r w:rsidRPr="0010128E">
        <w:rPr>
          <w:rFonts w:ascii="Times New Roman" w:hAnsi="Times New Roman"/>
          <w:sz w:val="24"/>
        </w:rPr>
        <w:t>users still end up paying for services</w:t>
      </w:r>
      <w:r>
        <w:rPr>
          <w:rFonts w:ascii="Times New Roman" w:hAnsi="Times New Roman"/>
          <w:sz w:val="24"/>
        </w:rPr>
        <w:t xml:space="preserve"> that are “exempt”</w:t>
      </w:r>
      <w:r w:rsidRPr="0010128E">
        <w:rPr>
          <w:rFonts w:ascii="Times New Roman" w:hAnsi="Times New Roman"/>
          <w:sz w:val="24"/>
        </w:rPr>
        <w:t xml:space="preserve"> through unofficial provider payments</w:t>
      </w:r>
      <w:r>
        <w:rPr>
          <w:rFonts w:ascii="Times New Roman" w:hAnsi="Times New Roman"/>
          <w:sz w:val="24"/>
        </w:rPr>
        <w:t>.</w:t>
      </w:r>
      <w:r w:rsidRPr="0010128E">
        <w:rPr>
          <w:rFonts w:ascii="Times New Roman" w:hAnsi="Times New Roman"/>
          <w:sz w:val="24"/>
        </w:rPr>
        <w:t xml:space="preserve"> </w:t>
      </w:r>
      <w:r>
        <w:rPr>
          <w:rFonts w:ascii="Times New Roman" w:hAnsi="Times New Roman"/>
          <w:sz w:val="24"/>
        </w:rPr>
        <w:t xml:space="preserve">Government facilities appear to be the most equitable in their user fee exemptions and waivers, although consumer preference for faith-based organizations demonstrates the need for further research on the quality of services in these organizations. </w:t>
      </w:r>
      <w:r w:rsidRPr="0010128E">
        <w:rPr>
          <w:rFonts w:ascii="Times New Roman" w:hAnsi="Times New Roman"/>
          <w:sz w:val="24"/>
        </w:rPr>
        <w:t xml:space="preserve">This shows that even with policy in place, continued efforts are needed at all levels to ensure policy goals are being met and realized.   </w:t>
      </w:r>
    </w:p>
    <w:p w14:paraId="27917383" w14:textId="0DF93D5B" w:rsidR="00D74CC0" w:rsidRPr="0010128E" w:rsidRDefault="00D74CC0" w:rsidP="002E3E35">
      <w:pPr>
        <w:spacing w:line="480" w:lineRule="auto"/>
        <w:ind w:firstLine="720"/>
        <w:rPr>
          <w:rFonts w:ascii="Times New Roman" w:hAnsi="Times New Roman"/>
          <w:sz w:val="24"/>
        </w:rPr>
      </w:pPr>
    </w:p>
    <w:p w14:paraId="5AA06BEE" w14:textId="77777777" w:rsidR="002E3E35" w:rsidRDefault="002E3E35">
      <w:pPr>
        <w:rPr>
          <w:rFonts w:ascii="Times New Roman" w:eastAsia="MS Gothic" w:hAnsi="Times New Roman"/>
          <w:b/>
          <w:bCs/>
          <w:sz w:val="28"/>
        </w:rPr>
      </w:pPr>
      <w:bookmarkStart w:id="3" w:name="_Toc206320770"/>
      <w:r>
        <w:rPr>
          <w:rFonts w:ascii="Times New Roman" w:hAnsi="Times New Roman"/>
        </w:rPr>
        <w:br w:type="page"/>
      </w:r>
    </w:p>
    <w:p w14:paraId="083DA806" w14:textId="5606B6D2" w:rsidR="00FE464A" w:rsidRPr="0010128E" w:rsidRDefault="00FE464A" w:rsidP="00DB0993">
      <w:pPr>
        <w:pStyle w:val="Heading1"/>
        <w:rPr>
          <w:rFonts w:ascii="Times New Roman" w:hAnsi="Times New Roman"/>
        </w:rPr>
      </w:pPr>
      <w:r w:rsidRPr="0010128E">
        <w:rPr>
          <w:rFonts w:ascii="Times New Roman" w:hAnsi="Times New Roman"/>
        </w:rPr>
        <w:t>Background on Tanzania’s Health System</w:t>
      </w:r>
      <w:bookmarkEnd w:id="3"/>
    </w:p>
    <w:p w14:paraId="4063AD92" w14:textId="77777777" w:rsidR="00FE464A" w:rsidRPr="0010128E" w:rsidRDefault="00FE464A" w:rsidP="00FE464A">
      <w:pPr>
        <w:pStyle w:val="Heading2"/>
        <w:spacing w:line="480" w:lineRule="auto"/>
      </w:pPr>
      <w:bookmarkStart w:id="4" w:name="_Toc206320771"/>
      <w:r w:rsidRPr="0010128E">
        <w:t>Health Policy</w:t>
      </w:r>
      <w:bookmarkEnd w:id="4"/>
    </w:p>
    <w:p w14:paraId="4B068724" w14:textId="0F355929" w:rsidR="00FE464A" w:rsidRPr="0010128E" w:rsidRDefault="00FE464A" w:rsidP="00FE464A">
      <w:pPr>
        <w:spacing w:line="480" w:lineRule="auto"/>
        <w:ind w:firstLine="720"/>
        <w:rPr>
          <w:rFonts w:ascii="Times New Roman" w:hAnsi="Times New Roman"/>
          <w:sz w:val="24"/>
        </w:rPr>
      </w:pPr>
      <w:r w:rsidRPr="0010128E">
        <w:rPr>
          <w:rFonts w:ascii="Times New Roman" w:hAnsi="Times New Roman"/>
          <w:sz w:val="24"/>
        </w:rPr>
        <w:t xml:space="preserve">In Tanzania, </w:t>
      </w:r>
      <w:r w:rsidR="00662A08">
        <w:rPr>
          <w:rFonts w:ascii="Times New Roman" w:hAnsi="Times New Roman"/>
          <w:sz w:val="24"/>
        </w:rPr>
        <w:t>PHC</w:t>
      </w:r>
      <w:r w:rsidRPr="0010128E">
        <w:rPr>
          <w:rFonts w:ascii="Times New Roman" w:hAnsi="Times New Roman"/>
          <w:sz w:val="24"/>
        </w:rPr>
        <w:t xml:space="preserve"> has had a long history</w:t>
      </w:r>
      <w:r w:rsidR="00621FCD" w:rsidRPr="0010128E">
        <w:rPr>
          <w:rFonts w:ascii="Times New Roman" w:hAnsi="Times New Roman"/>
          <w:sz w:val="24"/>
        </w:rPr>
        <w:t xml:space="preserve"> in policy and programs</w:t>
      </w:r>
      <w:r w:rsidRPr="0010128E">
        <w:rPr>
          <w:rFonts w:ascii="Times New Roman" w:hAnsi="Times New Roman"/>
          <w:sz w:val="24"/>
        </w:rPr>
        <w:t xml:space="preserve"> reinforced by</w:t>
      </w:r>
      <w:r w:rsidR="00E771D5" w:rsidRPr="0010128E">
        <w:rPr>
          <w:rFonts w:ascii="Times New Roman" w:hAnsi="Times New Roman"/>
          <w:sz w:val="24"/>
        </w:rPr>
        <w:t xml:space="preserve"> international efforts</w:t>
      </w:r>
      <w:r w:rsidRPr="0010128E">
        <w:rPr>
          <w:rFonts w:ascii="Times New Roman" w:hAnsi="Times New Roman"/>
          <w:sz w:val="24"/>
        </w:rPr>
        <w:t>. Tanzania gained independence from British colonial rule in 1961. At this point the health care system was small and fragile. Tanzania had gained independence through a peaceful process, unlike some of its counterparts</w:t>
      </w:r>
      <w:r w:rsidR="001D4F87" w:rsidRPr="0010128E">
        <w:rPr>
          <w:rFonts w:ascii="Times New Roman" w:hAnsi="Times New Roman"/>
          <w:sz w:val="24"/>
        </w:rPr>
        <w:t xml:space="preserve"> who found independence through insurgency (e.g. Kenya and Mozambique)</w:t>
      </w:r>
      <w:r w:rsidR="00AE4ABF" w:rsidRPr="0010128E">
        <w:rPr>
          <w:rFonts w:ascii="Times New Roman" w:hAnsi="Times New Roman"/>
          <w:noProof/>
          <w:sz w:val="24"/>
        </w:rPr>
        <w:t xml:space="preserve"> (Young, 1986)</w:t>
      </w:r>
      <w:r w:rsidRPr="0010128E">
        <w:rPr>
          <w:rFonts w:ascii="Times New Roman" w:hAnsi="Times New Roman"/>
          <w:sz w:val="24"/>
        </w:rPr>
        <w:t>. Since its independence, Tanzania has had a strong focus on achiev</w:t>
      </w:r>
      <w:r w:rsidR="00941B41" w:rsidRPr="0010128E">
        <w:rPr>
          <w:rFonts w:ascii="Times New Roman" w:hAnsi="Times New Roman"/>
          <w:sz w:val="24"/>
        </w:rPr>
        <w:t>ing primary health care for all</w:t>
      </w:r>
      <w:r w:rsidRPr="0010128E">
        <w:rPr>
          <w:rFonts w:ascii="Times New Roman" w:hAnsi="Times New Roman"/>
          <w:sz w:val="24"/>
        </w:rPr>
        <w:t>. Policy in the 1970s, as a result of the Arusha Declaration in 1967</w:t>
      </w:r>
      <w:r w:rsidR="00FB6B80" w:rsidRPr="0010128E">
        <w:rPr>
          <w:rFonts w:ascii="Times New Roman" w:hAnsi="Times New Roman"/>
          <w:sz w:val="24"/>
        </w:rPr>
        <w:t>,</w:t>
      </w:r>
      <w:r w:rsidRPr="0010128E">
        <w:rPr>
          <w:rFonts w:ascii="Times New Roman" w:hAnsi="Times New Roman"/>
          <w:sz w:val="24"/>
        </w:rPr>
        <w:t xml:space="preserve"> worked towards a socialized health system with elements such as the elimination of priva</w:t>
      </w:r>
      <w:r w:rsidR="00941B41" w:rsidRPr="0010128E">
        <w:rPr>
          <w:rFonts w:ascii="Times New Roman" w:hAnsi="Times New Roman"/>
          <w:sz w:val="24"/>
        </w:rPr>
        <w:t xml:space="preserve">te-for-profit health providers; however, </w:t>
      </w:r>
      <w:r w:rsidR="000161F1" w:rsidRPr="0010128E">
        <w:rPr>
          <w:rFonts w:ascii="Times New Roman" w:hAnsi="Times New Roman"/>
          <w:sz w:val="24"/>
        </w:rPr>
        <w:t>sole public provision of health services proved unsustainable going into the 1980s.</w:t>
      </w:r>
    </w:p>
    <w:p w14:paraId="547B4665" w14:textId="0337C928" w:rsidR="003224D6" w:rsidRPr="0010128E" w:rsidRDefault="00FE464A" w:rsidP="003224D6">
      <w:pPr>
        <w:spacing w:line="480" w:lineRule="auto"/>
        <w:rPr>
          <w:rFonts w:ascii="Times New Roman" w:hAnsi="Times New Roman"/>
          <w:sz w:val="24"/>
        </w:rPr>
      </w:pPr>
      <w:r w:rsidRPr="0010128E">
        <w:rPr>
          <w:rFonts w:ascii="Times New Roman" w:hAnsi="Times New Roman"/>
          <w:sz w:val="24"/>
        </w:rPr>
        <w:tab/>
      </w:r>
      <w:r w:rsidR="003224D6" w:rsidRPr="0010128E">
        <w:rPr>
          <w:rFonts w:ascii="Times New Roman" w:hAnsi="Times New Roman"/>
          <w:sz w:val="24"/>
        </w:rPr>
        <w:t>PHC for Tanzania was first conceived in 1967 and further expanded through the Decentralization Act of 1972 (</w:t>
      </w:r>
      <w:r w:rsidR="00662A08">
        <w:rPr>
          <w:rFonts w:ascii="Times New Roman" w:hAnsi="Times New Roman"/>
          <w:sz w:val="24"/>
        </w:rPr>
        <w:t>Ministry of Health and Social Welfare</w:t>
      </w:r>
      <w:r w:rsidR="003224D6" w:rsidRPr="0010128E">
        <w:rPr>
          <w:rFonts w:ascii="Times New Roman" w:hAnsi="Times New Roman"/>
          <w:sz w:val="24"/>
        </w:rPr>
        <w:t>, 2009), resulting in the establishment of numerous health facilities throughout the country.  In 1992, PHC was revised and aimed at enhancing the management of most health program activities at the district level.</w:t>
      </w:r>
    </w:p>
    <w:p w14:paraId="18487420" w14:textId="382AB477" w:rsidR="00B03F32" w:rsidRPr="0010128E" w:rsidRDefault="00FE464A" w:rsidP="00A45F8A">
      <w:pPr>
        <w:spacing w:line="480" w:lineRule="auto"/>
        <w:ind w:firstLine="720"/>
        <w:rPr>
          <w:rFonts w:ascii="Times New Roman" w:hAnsi="Times New Roman"/>
          <w:sz w:val="24"/>
        </w:rPr>
      </w:pPr>
      <w:r w:rsidRPr="0010128E">
        <w:rPr>
          <w:rFonts w:ascii="Times New Roman" w:hAnsi="Times New Roman"/>
          <w:sz w:val="24"/>
        </w:rPr>
        <w:t xml:space="preserve">The last few decades have seen continued health policy </w:t>
      </w:r>
      <w:r w:rsidR="000161F1" w:rsidRPr="0010128E">
        <w:rPr>
          <w:rFonts w:ascii="Times New Roman" w:hAnsi="Times New Roman"/>
          <w:sz w:val="24"/>
        </w:rPr>
        <w:t>change</w:t>
      </w:r>
      <w:r w:rsidRPr="0010128E">
        <w:rPr>
          <w:rFonts w:ascii="Times New Roman" w:hAnsi="Times New Roman"/>
          <w:sz w:val="24"/>
        </w:rPr>
        <w:t xml:space="preserve">, beginning with the Ministry of Health and Social Welfare’s (MOHSW) National Health Policy in 1990, which was subsequently revised in 2003 and 2007 </w:t>
      </w:r>
      <w:r w:rsidR="00AE4ABF" w:rsidRPr="0010128E">
        <w:rPr>
          <w:rFonts w:ascii="Times New Roman" w:hAnsi="Times New Roman"/>
          <w:noProof/>
          <w:sz w:val="24"/>
        </w:rPr>
        <w:t>(</w:t>
      </w:r>
      <w:r w:rsidR="00662A08">
        <w:rPr>
          <w:rFonts w:ascii="Times New Roman" w:hAnsi="Times New Roman"/>
          <w:noProof/>
          <w:sz w:val="24"/>
        </w:rPr>
        <w:t>MOHSW</w:t>
      </w:r>
      <w:r w:rsidR="00AE4ABF" w:rsidRPr="0010128E">
        <w:rPr>
          <w:rFonts w:ascii="Times New Roman" w:hAnsi="Times New Roman"/>
          <w:noProof/>
          <w:sz w:val="24"/>
        </w:rPr>
        <w:t>, 2009)</w:t>
      </w:r>
      <w:r w:rsidRPr="0010128E">
        <w:rPr>
          <w:rFonts w:ascii="Times New Roman" w:hAnsi="Times New Roman"/>
          <w:sz w:val="24"/>
        </w:rPr>
        <w:t>. The National Health Policy Plan outline</w:t>
      </w:r>
      <w:r w:rsidR="000161F1" w:rsidRPr="0010128E">
        <w:rPr>
          <w:rFonts w:ascii="Times New Roman" w:hAnsi="Times New Roman"/>
          <w:sz w:val="24"/>
        </w:rPr>
        <w:t>s</w:t>
      </w:r>
      <w:r w:rsidRPr="0010128E">
        <w:rPr>
          <w:rFonts w:ascii="Times New Roman" w:hAnsi="Times New Roman"/>
          <w:sz w:val="24"/>
        </w:rPr>
        <w:t xml:space="preserve"> specific governmental objectives such as improving the partnership between public, private and faith-based sectors. This collaboration between sectors was initiated in 1994 with Health Sector Reforms (HSR), which specifically addressed improving access, quality and efficiency in health service delivery. </w:t>
      </w:r>
    </w:p>
    <w:p w14:paraId="2E9BA487" w14:textId="70F63B8F" w:rsidR="00FE464A" w:rsidRPr="0010128E" w:rsidRDefault="00FE464A" w:rsidP="003F05A6">
      <w:pPr>
        <w:spacing w:line="480" w:lineRule="auto"/>
        <w:ind w:firstLine="720"/>
        <w:rPr>
          <w:rFonts w:ascii="Times New Roman" w:hAnsi="Times New Roman"/>
          <w:sz w:val="24"/>
        </w:rPr>
      </w:pPr>
      <w:r w:rsidRPr="0010128E">
        <w:rPr>
          <w:rFonts w:ascii="Times New Roman" w:hAnsi="Times New Roman"/>
          <w:sz w:val="24"/>
        </w:rPr>
        <w:t>The preferred method to achieve this efficiency</w:t>
      </w:r>
      <w:r w:rsidR="000161F1" w:rsidRPr="0010128E">
        <w:rPr>
          <w:rFonts w:ascii="Times New Roman" w:hAnsi="Times New Roman"/>
          <w:sz w:val="24"/>
        </w:rPr>
        <w:t>,</w:t>
      </w:r>
      <w:r w:rsidRPr="0010128E">
        <w:rPr>
          <w:rFonts w:ascii="Times New Roman" w:hAnsi="Times New Roman"/>
          <w:sz w:val="24"/>
        </w:rPr>
        <w:t xml:space="preserve"> in the most cost-effective way</w:t>
      </w:r>
      <w:r w:rsidR="000161F1" w:rsidRPr="0010128E">
        <w:rPr>
          <w:rFonts w:ascii="Times New Roman" w:hAnsi="Times New Roman"/>
          <w:sz w:val="24"/>
        </w:rPr>
        <w:t>,</w:t>
      </w:r>
      <w:r w:rsidRPr="0010128E">
        <w:rPr>
          <w:rFonts w:ascii="Times New Roman" w:hAnsi="Times New Roman"/>
          <w:sz w:val="24"/>
        </w:rPr>
        <w:t xml:space="preserve"> was through the use of </w:t>
      </w:r>
      <w:r w:rsidR="00B03F32" w:rsidRPr="0010128E">
        <w:rPr>
          <w:rFonts w:ascii="Times New Roman" w:hAnsi="Times New Roman"/>
          <w:sz w:val="24"/>
        </w:rPr>
        <w:t>PHC</w:t>
      </w:r>
      <w:r w:rsidRPr="0010128E">
        <w:rPr>
          <w:rFonts w:ascii="Times New Roman" w:hAnsi="Times New Roman"/>
          <w:sz w:val="24"/>
        </w:rPr>
        <w:t xml:space="preserve"> </w:t>
      </w:r>
      <w:r w:rsidR="00AE4ABF" w:rsidRPr="0010128E">
        <w:rPr>
          <w:rFonts w:ascii="Times New Roman" w:hAnsi="Times New Roman"/>
          <w:noProof/>
          <w:sz w:val="24"/>
        </w:rPr>
        <w:t>(</w:t>
      </w:r>
      <w:r w:rsidR="00662A08">
        <w:rPr>
          <w:rFonts w:ascii="Times New Roman" w:hAnsi="Times New Roman"/>
          <w:noProof/>
          <w:sz w:val="24"/>
        </w:rPr>
        <w:t>MOHSW</w:t>
      </w:r>
      <w:r w:rsidR="00AE4ABF" w:rsidRPr="0010128E">
        <w:rPr>
          <w:rFonts w:ascii="Times New Roman" w:hAnsi="Times New Roman"/>
          <w:noProof/>
          <w:sz w:val="24"/>
        </w:rPr>
        <w:t>, 2009)</w:t>
      </w:r>
      <w:r w:rsidRPr="0010128E">
        <w:rPr>
          <w:rFonts w:ascii="Times New Roman" w:hAnsi="Times New Roman"/>
          <w:sz w:val="24"/>
        </w:rPr>
        <w:t xml:space="preserve">. Other major aspects of HSR </w:t>
      </w:r>
      <w:r w:rsidR="00E771D5" w:rsidRPr="0010128E">
        <w:rPr>
          <w:rFonts w:ascii="Times New Roman" w:hAnsi="Times New Roman"/>
          <w:sz w:val="24"/>
        </w:rPr>
        <w:t>in 1994 were</w:t>
      </w:r>
      <w:r w:rsidRPr="0010128E">
        <w:rPr>
          <w:rFonts w:ascii="Times New Roman" w:hAnsi="Times New Roman"/>
          <w:sz w:val="24"/>
        </w:rPr>
        <w:t xml:space="preserve">: decentralization of health services, introduction of user-fees in government-run facilities, introduction of health insurance </w:t>
      </w:r>
      <w:r w:rsidR="000161F1" w:rsidRPr="0010128E">
        <w:rPr>
          <w:rFonts w:ascii="Times New Roman" w:hAnsi="Times New Roman"/>
          <w:sz w:val="24"/>
        </w:rPr>
        <w:t>plans</w:t>
      </w:r>
      <w:r w:rsidRPr="0010128E">
        <w:rPr>
          <w:rFonts w:ascii="Times New Roman" w:hAnsi="Times New Roman"/>
          <w:sz w:val="24"/>
        </w:rPr>
        <w:t xml:space="preserve">, and encouragement </w:t>
      </w:r>
      <w:r w:rsidR="00E771D5" w:rsidRPr="0010128E">
        <w:rPr>
          <w:rFonts w:ascii="Times New Roman" w:hAnsi="Times New Roman"/>
          <w:sz w:val="24"/>
        </w:rPr>
        <w:t>of public/private partnerships.</w:t>
      </w:r>
    </w:p>
    <w:p w14:paraId="24038BA9" w14:textId="12BD93A4" w:rsidR="00FE464A" w:rsidRPr="0010128E" w:rsidRDefault="00FE464A" w:rsidP="00FE464A">
      <w:pPr>
        <w:spacing w:line="480" w:lineRule="auto"/>
        <w:rPr>
          <w:rFonts w:ascii="Times New Roman" w:hAnsi="Times New Roman"/>
          <w:sz w:val="24"/>
        </w:rPr>
      </w:pPr>
      <w:r w:rsidRPr="0010128E">
        <w:rPr>
          <w:rFonts w:ascii="Times New Roman" w:hAnsi="Times New Roman"/>
          <w:sz w:val="24"/>
        </w:rPr>
        <w:tab/>
        <w:t xml:space="preserve">More recently, the MOHSW developed the Primary Health Care Service Development Programme in 2007 as a means of accelerating the delivery of primary health care services for all </w:t>
      </w:r>
      <w:r w:rsidR="00AE4ABF" w:rsidRPr="0010128E">
        <w:rPr>
          <w:rFonts w:ascii="Times New Roman" w:hAnsi="Times New Roman"/>
          <w:noProof/>
          <w:sz w:val="24"/>
        </w:rPr>
        <w:t>(</w:t>
      </w:r>
      <w:r w:rsidR="00662A08">
        <w:rPr>
          <w:rFonts w:ascii="Times New Roman" w:hAnsi="Times New Roman"/>
          <w:noProof/>
          <w:sz w:val="24"/>
        </w:rPr>
        <w:t>MOHSW</w:t>
      </w:r>
      <w:r w:rsidR="00AE4ABF" w:rsidRPr="0010128E">
        <w:rPr>
          <w:rFonts w:ascii="Times New Roman" w:hAnsi="Times New Roman"/>
          <w:noProof/>
          <w:sz w:val="24"/>
        </w:rPr>
        <w:t>, 2009)</w:t>
      </w:r>
      <w:r w:rsidRPr="0010128E">
        <w:rPr>
          <w:rFonts w:ascii="Times New Roman" w:hAnsi="Times New Roman"/>
          <w:sz w:val="24"/>
        </w:rPr>
        <w:t xml:space="preserve">. While the national health policy has given broad guidelines on the health services delivery system in Tanzania, the PHC strategy has outlined how the policy is to be implemented. One of the main elements of this program was to </w:t>
      </w:r>
      <w:r w:rsidR="002337AF" w:rsidRPr="0010128E">
        <w:rPr>
          <w:rFonts w:ascii="Times New Roman" w:hAnsi="Times New Roman"/>
          <w:sz w:val="24"/>
        </w:rPr>
        <w:t>improve health service access through the construction of more PHC facilities and improving the communication within the referral system. The strategy for doing this was by having</w:t>
      </w:r>
      <w:r w:rsidR="00451524" w:rsidRPr="0010128E">
        <w:rPr>
          <w:rFonts w:ascii="Times New Roman" w:hAnsi="Times New Roman"/>
          <w:sz w:val="24"/>
        </w:rPr>
        <w:t xml:space="preserve"> a dispensary in each village and a health center in each ward. </w:t>
      </w:r>
      <w:r w:rsidRPr="0010128E">
        <w:rPr>
          <w:rFonts w:ascii="Times New Roman" w:hAnsi="Times New Roman"/>
          <w:sz w:val="24"/>
        </w:rPr>
        <w:t xml:space="preserve">The </w:t>
      </w:r>
      <w:r w:rsidR="000161F1" w:rsidRPr="0010128E">
        <w:rPr>
          <w:rFonts w:ascii="Times New Roman" w:hAnsi="Times New Roman"/>
          <w:sz w:val="24"/>
        </w:rPr>
        <w:t>Primary Health Care Service Development Programme</w:t>
      </w:r>
      <w:r w:rsidRPr="0010128E">
        <w:rPr>
          <w:rFonts w:ascii="Times New Roman" w:hAnsi="Times New Roman"/>
          <w:sz w:val="24"/>
        </w:rPr>
        <w:t xml:space="preserve"> </w:t>
      </w:r>
      <w:r w:rsidR="000161F1" w:rsidRPr="0010128E">
        <w:rPr>
          <w:rFonts w:ascii="Times New Roman" w:hAnsi="Times New Roman"/>
          <w:sz w:val="24"/>
        </w:rPr>
        <w:t xml:space="preserve">also </w:t>
      </w:r>
      <w:r w:rsidRPr="0010128E">
        <w:rPr>
          <w:rFonts w:ascii="Times New Roman" w:hAnsi="Times New Roman"/>
          <w:sz w:val="24"/>
        </w:rPr>
        <w:t xml:space="preserve">addresses the revised National Health Policy and its efforts towards the </w:t>
      </w:r>
      <w:r w:rsidR="000161F1" w:rsidRPr="0010128E">
        <w:rPr>
          <w:rFonts w:ascii="Times New Roman" w:hAnsi="Times New Roman"/>
          <w:sz w:val="24"/>
        </w:rPr>
        <w:t xml:space="preserve">international </w:t>
      </w:r>
      <w:r w:rsidRPr="0010128E">
        <w:rPr>
          <w:rFonts w:ascii="Times New Roman" w:hAnsi="Times New Roman"/>
          <w:sz w:val="24"/>
        </w:rPr>
        <w:t xml:space="preserve">Millennium Development Goals surrounding maternal health, child health and priority diseases. </w:t>
      </w:r>
    </w:p>
    <w:p w14:paraId="3711AA36" w14:textId="77777777" w:rsidR="00E771D5" w:rsidRPr="0010128E" w:rsidRDefault="00FE464A" w:rsidP="00FE464A">
      <w:pPr>
        <w:spacing w:line="480" w:lineRule="auto"/>
        <w:rPr>
          <w:rFonts w:ascii="Times New Roman" w:hAnsi="Times New Roman"/>
          <w:sz w:val="24"/>
        </w:rPr>
      </w:pPr>
      <w:r w:rsidRPr="0010128E">
        <w:rPr>
          <w:rFonts w:ascii="Times New Roman" w:hAnsi="Times New Roman"/>
          <w:sz w:val="24"/>
        </w:rPr>
        <w:tab/>
        <w:t xml:space="preserve">Another element to the National Health Policy is the Tanzanian Development Vision 2025, which aims to achieve high quality of life for all Tanzanians through certain development strategies including quality primary health care for all </w:t>
      </w:r>
      <w:r w:rsidR="00AE4ABF" w:rsidRPr="0010128E">
        <w:rPr>
          <w:rFonts w:ascii="Times New Roman" w:hAnsi="Times New Roman"/>
          <w:noProof/>
          <w:sz w:val="24"/>
        </w:rPr>
        <w:t>(National Institute for Medical Research, 2008)</w:t>
      </w:r>
      <w:r w:rsidRPr="0010128E">
        <w:rPr>
          <w:rFonts w:ascii="Times New Roman" w:hAnsi="Times New Roman"/>
          <w:sz w:val="24"/>
        </w:rPr>
        <w:t xml:space="preserve">. The Vision 2025 is in accordance with the Poverty Reductions Strategy as the MOHSW recommends increased equity in allocation of public services, targeting those most at risk. </w:t>
      </w:r>
    </w:p>
    <w:p w14:paraId="3BBBAEF6" w14:textId="77777777" w:rsidR="00FE464A" w:rsidRPr="0010128E" w:rsidRDefault="00FE464A" w:rsidP="008325B6">
      <w:pPr>
        <w:pStyle w:val="Heading2"/>
        <w:spacing w:line="480" w:lineRule="auto"/>
      </w:pPr>
      <w:bookmarkStart w:id="5" w:name="_Toc206320772"/>
      <w:r w:rsidRPr="0010128E">
        <w:t>Health System Structure</w:t>
      </w:r>
      <w:bookmarkEnd w:id="5"/>
    </w:p>
    <w:p w14:paraId="2A33E8F0" w14:textId="77777777" w:rsidR="00FE464A" w:rsidRPr="0010128E" w:rsidRDefault="00FE464A" w:rsidP="00FE464A">
      <w:pPr>
        <w:spacing w:line="480" w:lineRule="auto"/>
        <w:ind w:firstLine="720"/>
        <w:rPr>
          <w:rFonts w:ascii="Times New Roman" w:hAnsi="Times New Roman"/>
          <w:sz w:val="24"/>
        </w:rPr>
      </w:pPr>
      <w:r w:rsidRPr="0010128E">
        <w:rPr>
          <w:rFonts w:ascii="Times New Roman" w:hAnsi="Times New Roman"/>
          <w:sz w:val="24"/>
        </w:rPr>
        <w:t xml:space="preserve">The Tanzanian health care system is highly decentralized into three levels: district level, secondary/tertiary level, and the central level. Responsibilities at each level are </w:t>
      </w:r>
      <w:r w:rsidR="00621FCD" w:rsidRPr="0010128E">
        <w:rPr>
          <w:rFonts w:ascii="Times New Roman" w:hAnsi="Times New Roman"/>
          <w:sz w:val="24"/>
        </w:rPr>
        <w:t>outline</w:t>
      </w:r>
      <w:r w:rsidR="00C12F63" w:rsidRPr="0010128E">
        <w:rPr>
          <w:rFonts w:ascii="Times New Roman" w:hAnsi="Times New Roman"/>
          <w:sz w:val="24"/>
        </w:rPr>
        <w:t>d</w:t>
      </w:r>
      <w:r w:rsidR="00621FCD" w:rsidRPr="0010128E">
        <w:rPr>
          <w:rFonts w:ascii="Times New Roman" w:hAnsi="Times New Roman"/>
          <w:sz w:val="24"/>
        </w:rPr>
        <w:t xml:space="preserve"> in Table</w:t>
      </w:r>
      <w:r w:rsidR="00E771D5" w:rsidRPr="0010128E">
        <w:rPr>
          <w:rFonts w:ascii="Times New Roman" w:hAnsi="Times New Roman"/>
          <w:sz w:val="24"/>
        </w:rPr>
        <w:t xml:space="preserve"> 1.</w:t>
      </w:r>
      <w:r w:rsidR="00621FCD" w:rsidRPr="0010128E">
        <w:rPr>
          <w:rFonts w:ascii="Times New Roman" w:hAnsi="Times New Roman"/>
          <w:sz w:val="24"/>
        </w:rPr>
        <w:t xml:space="preserve"> </w:t>
      </w:r>
    </w:p>
    <w:p w14:paraId="247C034D" w14:textId="593C8313" w:rsidR="00E771D5" w:rsidRPr="0010128E" w:rsidRDefault="00E771D5" w:rsidP="00E771D5">
      <w:pPr>
        <w:pStyle w:val="Caption"/>
        <w:keepNext/>
        <w:rPr>
          <w:rFonts w:ascii="Times New Roman" w:hAnsi="Times New Roman"/>
          <w:color w:val="auto"/>
          <w:sz w:val="24"/>
          <w:szCs w:val="24"/>
        </w:rPr>
      </w:pPr>
      <w:r w:rsidRPr="0010128E">
        <w:rPr>
          <w:rFonts w:ascii="Times New Roman" w:hAnsi="Times New Roman"/>
          <w:color w:val="auto"/>
          <w:sz w:val="24"/>
          <w:szCs w:val="24"/>
        </w:rPr>
        <w:t xml:space="preserve">Table </w:t>
      </w:r>
      <w:r w:rsidR="00EA0178" w:rsidRPr="0010128E">
        <w:rPr>
          <w:rFonts w:ascii="Times New Roman" w:hAnsi="Times New Roman"/>
          <w:color w:val="auto"/>
          <w:sz w:val="24"/>
          <w:szCs w:val="24"/>
        </w:rPr>
        <w:fldChar w:fldCharType="begin"/>
      </w:r>
      <w:r w:rsidR="00FF64EB" w:rsidRPr="0010128E">
        <w:rPr>
          <w:rFonts w:ascii="Times New Roman" w:hAnsi="Times New Roman"/>
          <w:color w:val="auto"/>
          <w:sz w:val="24"/>
          <w:szCs w:val="24"/>
        </w:rPr>
        <w:instrText xml:space="preserve"> SEQ Table \* ARABIC </w:instrText>
      </w:r>
      <w:r w:rsidR="00EA0178" w:rsidRPr="0010128E">
        <w:rPr>
          <w:rFonts w:ascii="Times New Roman" w:hAnsi="Times New Roman"/>
          <w:color w:val="auto"/>
          <w:sz w:val="24"/>
          <w:szCs w:val="24"/>
        </w:rPr>
        <w:fldChar w:fldCharType="separate"/>
      </w:r>
      <w:r w:rsidR="000169AC">
        <w:rPr>
          <w:rFonts w:ascii="Times New Roman" w:hAnsi="Times New Roman"/>
          <w:noProof/>
          <w:color w:val="auto"/>
          <w:sz w:val="24"/>
          <w:szCs w:val="24"/>
        </w:rPr>
        <w:t>1</w:t>
      </w:r>
      <w:r w:rsidR="00EA0178" w:rsidRPr="0010128E">
        <w:rPr>
          <w:rFonts w:ascii="Times New Roman" w:hAnsi="Times New Roman"/>
          <w:noProof/>
          <w:color w:val="auto"/>
          <w:sz w:val="24"/>
          <w:szCs w:val="24"/>
        </w:rPr>
        <w:fldChar w:fldCharType="end"/>
      </w:r>
      <w:r w:rsidR="00B93D19" w:rsidRPr="0010128E">
        <w:rPr>
          <w:rFonts w:ascii="Times New Roman" w:hAnsi="Times New Roman"/>
          <w:noProof/>
          <w:color w:val="auto"/>
          <w:sz w:val="24"/>
          <w:szCs w:val="24"/>
        </w:rPr>
        <w:t xml:space="preserve"> Tanzanian Health System Levels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117"/>
      </w:tblGrid>
      <w:tr w:rsidR="00B6243B" w:rsidRPr="0010128E" w14:paraId="387955EF" w14:textId="77777777" w:rsidTr="00B6243B">
        <w:trPr>
          <w:trHeight w:val="863"/>
        </w:trPr>
        <w:tc>
          <w:tcPr>
            <w:tcW w:w="2208" w:type="dxa"/>
            <w:shd w:val="clear" w:color="auto" w:fill="B3B3B3"/>
            <w:vAlign w:val="center"/>
          </w:tcPr>
          <w:p w14:paraId="449758B8" w14:textId="77777777" w:rsidR="00621FCD" w:rsidRPr="0010128E" w:rsidRDefault="00621FCD" w:rsidP="00666367">
            <w:pPr>
              <w:jc w:val="center"/>
              <w:rPr>
                <w:rFonts w:ascii="Times New Roman" w:eastAsia="ＭＳ 明朝" w:hAnsi="Times New Roman"/>
                <w:b/>
                <w:sz w:val="24"/>
              </w:rPr>
            </w:pPr>
            <w:r w:rsidRPr="0010128E">
              <w:rPr>
                <w:rFonts w:ascii="Times New Roman" w:eastAsia="ＭＳ 明朝" w:hAnsi="Times New Roman"/>
                <w:b/>
                <w:sz w:val="24"/>
              </w:rPr>
              <w:t>Level</w:t>
            </w:r>
          </w:p>
        </w:tc>
        <w:tc>
          <w:tcPr>
            <w:tcW w:w="6117" w:type="dxa"/>
            <w:shd w:val="clear" w:color="auto" w:fill="B3B3B3"/>
            <w:vAlign w:val="center"/>
          </w:tcPr>
          <w:p w14:paraId="7D336A13" w14:textId="77777777" w:rsidR="00621FCD" w:rsidRPr="0010128E" w:rsidRDefault="00621FCD" w:rsidP="00666367">
            <w:pPr>
              <w:jc w:val="center"/>
              <w:rPr>
                <w:rFonts w:ascii="Times New Roman" w:eastAsia="ＭＳ 明朝" w:hAnsi="Times New Roman"/>
                <w:b/>
                <w:sz w:val="24"/>
              </w:rPr>
            </w:pPr>
            <w:r w:rsidRPr="0010128E">
              <w:rPr>
                <w:rFonts w:ascii="Times New Roman" w:eastAsia="ＭＳ 明朝" w:hAnsi="Times New Roman"/>
                <w:b/>
                <w:sz w:val="24"/>
              </w:rPr>
              <w:t>Responsibilities</w:t>
            </w:r>
          </w:p>
        </w:tc>
      </w:tr>
      <w:tr w:rsidR="00B6243B" w:rsidRPr="0010128E" w14:paraId="13F550EC" w14:textId="77777777" w:rsidTr="00B6243B">
        <w:trPr>
          <w:trHeight w:val="1036"/>
        </w:trPr>
        <w:tc>
          <w:tcPr>
            <w:tcW w:w="2208" w:type="dxa"/>
            <w:vAlign w:val="center"/>
          </w:tcPr>
          <w:p w14:paraId="21E2958E" w14:textId="1D696B23" w:rsidR="00621FCD" w:rsidRPr="0010128E" w:rsidRDefault="00621FCD" w:rsidP="00666367">
            <w:pPr>
              <w:jc w:val="center"/>
              <w:rPr>
                <w:rFonts w:ascii="Times New Roman" w:eastAsia="ＭＳ 明朝" w:hAnsi="Times New Roman"/>
                <w:b/>
                <w:i/>
                <w:sz w:val="24"/>
              </w:rPr>
            </w:pPr>
            <w:r w:rsidRPr="0010128E">
              <w:rPr>
                <w:rFonts w:ascii="Times New Roman" w:eastAsia="ＭＳ 明朝" w:hAnsi="Times New Roman"/>
                <w:b/>
                <w:i/>
                <w:sz w:val="24"/>
              </w:rPr>
              <w:t>District</w:t>
            </w:r>
            <w:r w:rsidR="00B6243B">
              <w:rPr>
                <w:rFonts w:ascii="Times New Roman" w:eastAsia="ＭＳ 明朝" w:hAnsi="Times New Roman"/>
                <w:b/>
                <w:i/>
                <w:sz w:val="24"/>
              </w:rPr>
              <w:t xml:space="preserve"> &amp; Local</w:t>
            </w:r>
          </w:p>
        </w:tc>
        <w:tc>
          <w:tcPr>
            <w:tcW w:w="6117" w:type="dxa"/>
            <w:vAlign w:val="center"/>
          </w:tcPr>
          <w:p w14:paraId="0C90395D" w14:textId="77777777" w:rsidR="00621FCD" w:rsidRPr="0010128E" w:rsidRDefault="00AA077E" w:rsidP="00932B1F">
            <w:pPr>
              <w:jc w:val="center"/>
              <w:rPr>
                <w:rFonts w:ascii="Times New Roman" w:eastAsia="ＭＳ 明朝" w:hAnsi="Times New Roman"/>
                <w:sz w:val="24"/>
              </w:rPr>
            </w:pPr>
            <w:r w:rsidRPr="0010128E">
              <w:rPr>
                <w:rFonts w:ascii="Times New Roman" w:eastAsia="ＭＳ 明朝" w:hAnsi="Times New Roman"/>
                <w:sz w:val="24"/>
              </w:rPr>
              <w:t>T</w:t>
            </w:r>
            <w:r w:rsidR="00621FCD" w:rsidRPr="0010128E">
              <w:rPr>
                <w:rFonts w:ascii="Times New Roman" w:eastAsia="ＭＳ 明朝" w:hAnsi="Times New Roman"/>
                <w:sz w:val="24"/>
              </w:rPr>
              <w:t>he district hospital, health centers, dispensaries, and community health services</w:t>
            </w:r>
          </w:p>
        </w:tc>
      </w:tr>
      <w:tr w:rsidR="00B6243B" w:rsidRPr="0010128E" w14:paraId="06EE990B" w14:textId="77777777" w:rsidTr="00B6243B">
        <w:trPr>
          <w:trHeight w:val="1308"/>
        </w:trPr>
        <w:tc>
          <w:tcPr>
            <w:tcW w:w="2208" w:type="dxa"/>
            <w:vAlign w:val="center"/>
          </w:tcPr>
          <w:p w14:paraId="452E20B0" w14:textId="5AFE59D5" w:rsidR="00621FCD" w:rsidRPr="0010128E" w:rsidRDefault="00AA077E" w:rsidP="00B6243B">
            <w:pPr>
              <w:jc w:val="center"/>
              <w:rPr>
                <w:rFonts w:ascii="Times New Roman" w:eastAsia="ＭＳ 明朝" w:hAnsi="Times New Roman"/>
                <w:b/>
                <w:i/>
                <w:sz w:val="24"/>
              </w:rPr>
            </w:pPr>
            <w:r w:rsidRPr="0010128E">
              <w:rPr>
                <w:rFonts w:ascii="Times New Roman" w:eastAsia="ＭＳ 明朝" w:hAnsi="Times New Roman"/>
                <w:b/>
                <w:i/>
                <w:sz w:val="24"/>
              </w:rPr>
              <w:t xml:space="preserve">Secondary </w:t>
            </w:r>
            <w:r w:rsidR="00B6243B">
              <w:rPr>
                <w:rFonts w:ascii="Times New Roman" w:eastAsia="ＭＳ 明朝" w:hAnsi="Times New Roman"/>
                <w:b/>
                <w:i/>
                <w:sz w:val="24"/>
              </w:rPr>
              <w:t>&amp;</w:t>
            </w:r>
            <w:r w:rsidRPr="0010128E">
              <w:rPr>
                <w:rFonts w:ascii="Times New Roman" w:eastAsia="ＭＳ 明朝" w:hAnsi="Times New Roman"/>
                <w:b/>
                <w:i/>
                <w:sz w:val="24"/>
              </w:rPr>
              <w:t xml:space="preserve"> T</w:t>
            </w:r>
            <w:r w:rsidR="00621FCD" w:rsidRPr="0010128E">
              <w:rPr>
                <w:rFonts w:ascii="Times New Roman" w:eastAsia="ＭＳ 明朝" w:hAnsi="Times New Roman"/>
                <w:b/>
                <w:i/>
                <w:sz w:val="24"/>
              </w:rPr>
              <w:t>ertiary</w:t>
            </w:r>
          </w:p>
        </w:tc>
        <w:tc>
          <w:tcPr>
            <w:tcW w:w="6117" w:type="dxa"/>
            <w:vAlign w:val="center"/>
          </w:tcPr>
          <w:p w14:paraId="15A8C732" w14:textId="77777777" w:rsidR="00621FCD" w:rsidRPr="0010128E" w:rsidRDefault="00621FCD" w:rsidP="00932B1F">
            <w:pPr>
              <w:jc w:val="center"/>
              <w:rPr>
                <w:rFonts w:ascii="Times New Roman" w:eastAsia="ＭＳ 明朝" w:hAnsi="Times New Roman"/>
                <w:sz w:val="24"/>
              </w:rPr>
            </w:pPr>
            <w:r w:rsidRPr="0010128E">
              <w:rPr>
                <w:rFonts w:ascii="Times New Roman" w:eastAsia="ＭＳ 明朝" w:hAnsi="Times New Roman"/>
                <w:sz w:val="24"/>
              </w:rPr>
              <w:t>Secondary and tertiary hospitals</w:t>
            </w:r>
            <w:r w:rsidR="003D4AE1" w:rsidRPr="0010128E">
              <w:rPr>
                <w:rFonts w:ascii="Times New Roman" w:eastAsia="ＭＳ 明朝" w:hAnsi="Times New Roman"/>
                <w:sz w:val="24"/>
              </w:rPr>
              <w:t>, providing specialty care,</w:t>
            </w:r>
            <w:r w:rsidRPr="0010128E">
              <w:rPr>
                <w:rFonts w:ascii="Times New Roman" w:eastAsia="ＭＳ 明朝" w:hAnsi="Times New Roman"/>
                <w:sz w:val="24"/>
              </w:rPr>
              <w:t xml:space="preserve"> and other tertiary-level institutions (teaching institutions);</w:t>
            </w:r>
          </w:p>
        </w:tc>
      </w:tr>
      <w:tr w:rsidR="00B6243B" w:rsidRPr="0010128E" w14:paraId="175C87A8" w14:textId="77777777" w:rsidTr="00B6243B">
        <w:trPr>
          <w:trHeight w:val="1096"/>
        </w:trPr>
        <w:tc>
          <w:tcPr>
            <w:tcW w:w="2208" w:type="dxa"/>
            <w:vAlign w:val="center"/>
          </w:tcPr>
          <w:p w14:paraId="0A71E03D" w14:textId="77777777" w:rsidR="00621FCD" w:rsidRPr="0010128E" w:rsidRDefault="00621FCD" w:rsidP="00666367">
            <w:pPr>
              <w:jc w:val="center"/>
              <w:rPr>
                <w:rFonts w:ascii="Times New Roman" w:eastAsia="ＭＳ 明朝" w:hAnsi="Times New Roman"/>
                <w:b/>
                <w:i/>
                <w:sz w:val="24"/>
              </w:rPr>
            </w:pPr>
            <w:r w:rsidRPr="0010128E">
              <w:rPr>
                <w:rFonts w:ascii="Times New Roman" w:eastAsia="ＭＳ 明朝" w:hAnsi="Times New Roman"/>
                <w:b/>
                <w:i/>
                <w:sz w:val="24"/>
              </w:rPr>
              <w:t>Central</w:t>
            </w:r>
          </w:p>
        </w:tc>
        <w:tc>
          <w:tcPr>
            <w:tcW w:w="6117" w:type="dxa"/>
            <w:vAlign w:val="center"/>
          </w:tcPr>
          <w:p w14:paraId="4DB44233" w14:textId="77777777" w:rsidR="00621FCD" w:rsidRPr="0010128E" w:rsidRDefault="00AA077E" w:rsidP="00932B1F">
            <w:pPr>
              <w:jc w:val="center"/>
              <w:rPr>
                <w:rFonts w:ascii="Times New Roman" w:eastAsia="ＭＳ 明朝" w:hAnsi="Times New Roman"/>
                <w:sz w:val="24"/>
              </w:rPr>
            </w:pPr>
            <w:r w:rsidRPr="0010128E">
              <w:rPr>
                <w:rFonts w:ascii="Times New Roman" w:eastAsia="ＭＳ 明朝" w:hAnsi="Times New Roman"/>
                <w:sz w:val="24"/>
              </w:rPr>
              <w:t>P</w:t>
            </w:r>
            <w:r w:rsidR="00621FCD" w:rsidRPr="0010128E">
              <w:rPr>
                <w:rFonts w:ascii="Times New Roman" w:eastAsia="ＭＳ 明朝" w:hAnsi="Times New Roman"/>
                <w:sz w:val="24"/>
              </w:rPr>
              <w:t>rovides support services such as policy-making, donor coordination, and monitoring and evaluation.</w:t>
            </w:r>
          </w:p>
        </w:tc>
      </w:tr>
    </w:tbl>
    <w:p w14:paraId="53CCE570" w14:textId="77777777" w:rsidR="00621FCD" w:rsidRPr="0010128E" w:rsidRDefault="00621FCD" w:rsidP="00FE464A">
      <w:pPr>
        <w:spacing w:line="480" w:lineRule="auto"/>
        <w:rPr>
          <w:rFonts w:ascii="Times New Roman" w:hAnsi="Times New Roman"/>
          <w:sz w:val="24"/>
        </w:rPr>
      </w:pPr>
    </w:p>
    <w:p w14:paraId="768AD65F" w14:textId="58DF4821" w:rsidR="00FE464A" w:rsidRPr="0010128E" w:rsidRDefault="00FE464A" w:rsidP="00FE464A">
      <w:pPr>
        <w:spacing w:line="480" w:lineRule="auto"/>
        <w:rPr>
          <w:rFonts w:ascii="Times New Roman" w:hAnsi="Times New Roman"/>
          <w:sz w:val="24"/>
        </w:rPr>
      </w:pPr>
      <w:r w:rsidRPr="0010128E">
        <w:rPr>
          <w:rFonts w:ascii="Times New Roman" w:hAnsi="Times New Roman"/>
          <w:sz w:val="24"/>
        </w:rPr>
        <w:t xml:space="preserve">The Tanzanian government is focused on integrating the three levels to work towards reducing disease </w:t>
      </w:r>
      <w:r w:rsidR="000161F1" w:rsidRPr="0010128E">
        <w:rPr>
          <w:rFonts w:ascii="Times New Roman" w:hAnsi="Times New Roman"/>
          <w:sz w:val="24"/>
        </w:rPr>
        <w:t>prevalence and cost</w:t>
      </w:r>
      <w:r w:rsidRPr="0010128E">
        <w:rPr>
          <w:rFonts w:ascii="Times New Roman" w:hAnsi="Times New Roman"/>
          <w:sz w:val="24"/>
        </w:rPr>
        <w:t>, particularly the burden from HIV/AIDS and malaria, as a means of strengthening the entire health system</w:t>
      </w:r>
      <w:r w:rsidR="00AE4ABF" w:rsidRPr="0010128E">
        <w:rPr>
          <w:rFonts w:ascii="Times New Roman" w:hAnsi="Times New Roman"/>
          <w:noProof/>
          <w:sz w:val="24"/>
        </w:rPr>
        <w:t xml:space="preserve"> (United States Agency for International Development, 2007)</w:t>
      </w:r>
      <w:r w:rsidRPr="0010128E">
        <w:rPr>
          <w:rFonts w:ascii="Times New Roman" w:hAnsi="Times New Roman"/>
          <w:sz w:val="24"/>
        </w:rPr>
        <w:t xml:space="preserve">.  At the district level of the </w:t>
      </w:r>
      <w:r w:rsidR="00662A08">
        <w:rPr>
          <w:rFonts w:ascii="Times New Roman" w:hAnsi="Times New Roman"/>
          <w:sz w:val="24"/>
        </w:rPr>
        <w:t xml:space="preserve">MOHSW </w:t>
      </w:r>
      <w:r w:rsidRPr="0010128E">
        <w:rPr>
          <w:rFonts w:ascii="Times New Roman" w:hAnsi="Times New Roman"/>
          <w:sz w:val="24"/>
        </w:rPr>
        <w:t xml:space="preserve">there is a District Health Management Team (DHMT), which determines the health priorities for their district (MOHSW, 2009).  </w:t>
      </w:r>
    </w:p>
    <w:p w14:paraId="474EEECD" w14:textId="77777777" w:rsidR="00FE464A" w:rsidRPr="0010128E" w:rsidRDefault="00FE464A" w:rsidP="00FE464A">
      <w:pPr>
        <w:spacing w:line="480" w:lineRule="auto"/>
        <w:ind w:firstLine="720"/>
        <w:rPr>
          <w:rFonts w:ascii="Times New Roman" w:hAnsi="Times New Roman"/>
          <w:sz w:val="24"/>
        </w:rPr>
      </w:pPr>
      <w:r w:rsidRPr="0010128E">
        <w:rPr>
          <w:rFonts w:ascii="Times New Roman" w:hAnsi="Times New Roman"/>
          <w:sz w:val="24"/>
        </w:rPr>
        <w:t>Within the public sector, there are 78 hospitals, 409 health centers, and 2,450 dispensaries as of 2007 (USAID, 2007). The private sector, as of 2007, had 126 registered private health centers (70 belonging to voluntary agencies, 50 private-for-profit, and 6 belonging to parastatal organizations) (USAID, 2007). Out of the 1,340 registered private dispensaries, 561 are private for-profit and 250 belong to parastatal organizations. The Tanzanian government is the provider of health services in Tanzania and owns about 64 % of all total health facilities (USAID, 2007).</w:t>
      </w:r>
    </w:p>
    <w:p w14:paraId="3A2C04B7" w14:textId="77777777" w:rsidR="00FE464A" w:rsidRPr="0010128E" w:rsidRDefault="00FE464A" w:rsidP="00AA077E">
      <w:pPr>
        <w:spacing w:line="480" w:lineRule="auto"/>
        <w:ind w:firstLine="720"/>
        <w:rPr>
          <w:rFonts w:ascii="Times New Roman" w:hAnsi="Times New Roman"/>
          <w:sz w:val="24"/>
        </w:rPr>
      </w:pPr>
      <w:r w:rsidRPr="0010128E">
        <w:rPr>
          <w:rFonts w:ascii="Times New Roman" w:hAnsi="Times New Roman"/>
          <w:sz w:val="24"/>
        </w:rPr>
        <w:t xml:space="preserve">Since over 70% of Tanzania’s population lives in rural areas, 56% of the 121 private, mostly not-for-profit hospitals are located in rural areas (USAID, 2007). Over half (52%) of the registered health centers are also located in rural areas (USAID, 2007). For the most part, access to health care has focused on ensuring that as many people as possible are close to health facilities.  Access to primary facilities has certainly grown, with </w:t>
      </w:r>
      <w:r w:rsidR="000E7BC5" w:rsidRPr="0010128E">
        <w:rPr>
          <w:rFonts w:ascii="Times New Roman" w:hAnsi="Times New Roman"/>
          <w:sz w:val="24"/>
        </w:rPr>
        <w:t xml:space="preserve">95% </w:t>
      </w:r>
      <w:r w:rsidR="00AE4ABF" w:rsidRPr="0010128E">
        <w:rPr>
          <w:rFonts w:ascii="Times New Roman" w:hAnsi="Times New Roman"/>
          <w:noProof/>
          <w:sz w:val="24"/>
        </w:rPr>
        <w:t>(National Institute for Medical Research, 2008)</w:t>
      </w:r>
      <w:r w:rsidRPr="0010128E">
        <w:rPr>
          <w:rFonts w:ascii="Times New Roman" w:hAnsi="Times New Roman"/>
          <w:sz w:val="24"/>
        </w:rPr>
        <w:t xml:space="preserve"> of the Tanzanian population within five kilometers (three miles) from </w:t>
      </w:r>
      <w:r w:rsidR="000161F1" w:rsidRPr="0010128E">
        <w:rPr>
          <w:rFonts w:ascii="Times New Roman" w:hAnsi="Times New Roman"/>
          <w:sz w:val="24"/>
        </w:rPr>
        <w:t>a dispensary or health center. The location of hospitals</w:t>
      </w:r>
      <w:r w:rsidRPr="0010128E">
        <w:rPr>
          <w:rFonts w:ascii="Times New Roman" w:hAnsi="Times New Roman"/>
          <w:sz w:val="24"/>
        </w:rPr>
        <w:t>, however, remains favored towards urban areas.</w:t>
      </w:r>
      <w:r w:rsidRPr="0010128E">
        <w:rPr>
          <w:rFonts w:ascii="Times New Roman" w:hAnsi="Times New Roman"/>
          <w:sz w:val="24"/>
        </w:rPr>
        <w:tab/>
        <w:t xml:space="preserve"> </w:t>
      </w:r>
    </w:p>
    <w:p w14:paraId="15B21F0B" w14:textId="77777777" w:rsidR="00A7406A" w:rsidRPr="0010128E" w:rsidRDefault="00A7406A">
      <w:pPr>
        <w:rPr>
          <w:rFonts w:ascii="Times New Roman" w:eastAsia="MS Gothic" w:hAnsi="Times New Roman"/>
          <w:b/>
          <w:bCs/>
          <w:sz w:val="28"/>
        </w:rPr>
      </w:pPr>
      <w:r w:rsidRPr="0010128E">
        <w:rPr>
          <w:rFonts w:ascii="Times New Roman" w:hAnsi="Times New Roman"/>
        </w:rPr>
        <w:br w:type="page"/>
      </w:r>
    </w:p>
    <w:p w14:paraId="45BDBCF1" w14:textId="4E0E4D23" w:rsidR="00526DE7" w:rsidRPr="0010128E" w:rsidRDefault="0061060E" w:rsidP="00DB0993">
      <w:pPr>
        <w:pStyle w:val="Heading1"/>
        <w:rPr>
          <w:rFonts w:ascii="Times New Roman" w:hAnsi="Times New Roman"/>
        </w:rPr>
      </w:pPr>
      <w:bookmarkStart w:id="6" w:name="_Toc206320773"/>
      <w:r w:rsidRPr="0010128E">
        <w:rPr>
          <w:rFonts w:ascii="Times New Roman" w:hAnsi="Times New Roman"/>
        </w:rPr>
        <w:t>Primary Health Care</w:t>
      </w:r>
      <w:r w:rsidR="00673E39" w:rsidRPr="0010128E">
        <w:rPr>
          <w:rFonts w:ascii="Times New Roman" w:hAnsi="Times New Roman"/>
        </w:rPr>
        <w:t>: A Review of the Literature</w:t>
      </w:r>
      <w:bookmarkEnd w:id="6"/>
    </w:p>
    <w:p w14:paraId="1B0648F0" w14:textId="77777777" w:rsidR="00B476E3" w:rsidRPr="0010128E" w:rsidRDefault="00673E39" w:rsidP="0061060E">
      <w:pPr>
        <w:ind w:left="720" w:right="1530"/>
        <w:jc w:val="both"/>
        <w:rPr>
          <w:rFonts w:ascii="Times New Roman" w:hAnsi="Times New Roman"/>
          <w:i/>
          <w:sz w:val="24"/>
        </w:rPr>
      </w:pPr>
      <w:r w:rsidRPr="0010128E">
        <w:rPr>
          <w:rFonts w:ascii="Times New Roman" w:hAnsi="Times New Roman"/>
          <w:i/>
          <w:sz w:val="24"/>
        </w:rPr>
        <w:t>Essential health care…</w:t>
      </w:r>
      <w:r w:rsidR="0061060E" w:rsidRPr="0010128E">
        <w:rPr>
          <w:rFonts w:ascii="Times New Roman" w:hAnsi="Times New Roman"/>
          <w:i/>
          <w:sz w:val="24"/>
        </w:rPr>
        <w:t>made universally accessible to individuals and families in the community through their full participation and at a cost that community and country can afford to maintain at every stage of their development in the spirit of self- determination</w:t>
      </w:r>
      <w:r w:rsidR="00B476E3" w:rsidRPr="0010128E">
        <w:rPr>
          <w:rFonts w:ascii="Times New Roman" w:hAnsi="Times New Roman"/>
          <w:i/>
          <w:sz w:val="24"/>
        </w:rPr>
        <w:t xml:space="preserve">. </w:t>
      </w:r>
    </w:p>
    <w:p w14:paraId="5B28DB6E" w14:textId="77777777" w:rsidR="0061060E" w:rsidRPr="0010128E" w:rsidRDefault="00B476E3" w:rsidP="00673E39">
      <w:pPr>
        <w:ind w:left="2880" w:right="1530"/>
        <w:jc w:val="both"/>
        <w:rPr>
          <w:rFonts w:ascii="Times New Roman" w:hAnsi="Times New Roman"/>
          <w:sz w:val="24"/>
        </w:rPr>
      </w:pPr>
      <w:r w:rsidRPr="0010128E">
        <w:rPr>
          <w:rFonts w:ascii="Times New Roman" w:hAnsi="Times New Roman"/>
          <w:i/>
          <w:sz w:val="24"/>
        </w:rPr>
        <w:t>-</w:t>
      </w:r>
      <w:r w:rsidR="00673E39" w:rsidRPr="0010128E">
        <w:rPr>
          <w:rFonts w:ascii="Times New Roman" w:hAnsi="Times New Roman"/>
          <w:i/>
          <w:sz w:val="24"/>
        </w:rPr>
        <w:t>Definition of primary health care,</w:t>
      </w:r>
      <w:r w:rsidR="00C2650F" w:rsidRPr="0010128E">
        <w:rPr>
          <w:rFonts w:ascii="Times New Roman" w:hAnsi="Times New Roman"/>
          <w:i/>
          <w:sz w:val="24"/>
        </w:rPr>
        <w:t xml:space="preserve"> Alma A</w:t>
      </w:r>
      <w:r w:rsidRPr="0010128E">
        <w:rPr>
          <w:rFonts w:ascii="Times New Roman" w:hAnsi="Times New Roman"/>
          <w:i/>
          <w:sz w:val="24"/>
        </w:rPr>
        <w:t>ta Declaration Article VI</w:t>
      </w:r>
      <w:r w:rsidR="00673E39" w:rsidRPr="0010128E">
        <w:rPr>
          <w:rFonts w:ascii="Times New Roman" w:hAnsi="Times New Roman"/>
          <w:sz w:val="24"/>
        </w:rPr>
        <w:t xml:space="preserve">, </w:t>
      </w:r>
      <w:r w:rsidR="00C2650F" w:rsidRPr="0010128E">
        <w:rPr>
          <w:rFonts w:ascii="Times New Roman" w:hAnsi="Times New Roman"/>
          <w:sz w:val="24"/>
        </w:rPr>
        <w:t>(WHO, 1978)</w:t>
      </w:r>
    </w:p>
    <w:p w14:paraId="4976E64C" w14:textId="77777777" w:rsidR="0061060E" w:rsidRPr="0010128E" w:rsidRDefault="0061060E" w:rsidP="0061060E">
      <w:pPr>
        <w:rPr>
          <w:rFonts w:ascii="Times New Roman" w:hAnsi="Times New Roman"/>
          <w:sz w:val="24"/>
        </w:rPr>
      </w:pPr>
    </w:p>
    <w:p w14:paraId="716DDB8E" w14:textId="77777777" w:rsidR="0061060E" w:rsidRPr="0010128E" w:rsidRDefault="0061060E" w:rsidP="00CF326F">
      <w:pPr>
        <w:spacing w:line="480" w:lineRule="auto"/>
        <w:rPr>
          <w:rFonts w:ascii="Times New Roman" w:hAnsi="Times New Roman"/>
          <w:sz w:val="24"/>
        </w:rPr>
      </w:pPr>
      <w:r w:rsidRPr="0010128E">
        <w:rPr>
          <w:rFonts w:ascii="Times New Roman" w:hAnsi="Times New Roman"/>
          <w:sz w:val="24"/>
        </w:rPr>
        <w:tab/>
        <w:t>The year 1978 marked a victory in the health rights of indivi</w:t>
      </w:r>
      <w:r w:rsidR="00C2650F" w:rsidRPr="0010128E">
        <w:rPr>
          <w:rFonts w:ascii="Times New Roman" w:hAnsi="Times New Roman"/>
          <w:sz w:val="24"/>
        </w:rPr>
        <w:t>duals worldwide with the Alma A</w:t>
      </w:r>
      <w:r w:rsidRPr="0010128E">
        <w:rPr>
          <w:rFonts w:ascii="Times New Roman" w:hAnsi="Times New Roman"/>
          <w:sz w:val="24"/>
        </w:rPr>
        <w:t>t</w:t>
      </w:r>
      <w:r w:rsidR="00B476E3" w:rsidRPr="0010128E">
        <w:rPr>
          <w:rFonts w:ascii="Times New Roman" w:hAnsi="Times New Roman"/>
          <w:sz w:val="24"/>
        </w:rPr>
        <w:t>a</w:t>
      </w:r>
      <w:r w:rsidRPr="0010128E">
        <w:rPr>
          <w:rFonts w:ascii="Times New Roman" w:hAnsi="Times New Roman"/>
          <w:sz w:val="24"/>
        </w:rPr>
        <w:t xml:space="preserve"> Declaration for </w:t>
      </w:r>
      <w:r w:rsidR="00C2650F" w:rsidRPr="0010128E">
        <w:rPr>
          <w:rFonts w:ascii="Times New Roman" w:hAnsi="Times New Roman"/>
          <w:sz w:val="24"/>
        </w:rPr>
        <w:t>PHC</w:t>
      </w:r>
      <w:r w:rsidRPr="0010128E">
        <w:rPr>
          <w:rFonts w:ascii="Times New Roman" w:hAnsi="Times New Roman"/>
          <w:sz w:val="24"/>
        </w:rPr>
        <w:t xml:space="preserve"> </w:t>
      </w:r>
      <w:r w:rsidR="00AE4ABF" w:rsidRPr="0010128E">
        <w:rPr>
          <w:rFonts w:ascii="Times New Roman" w:hAnsi="Times New Roman"/>
          <w:noProof/>
          <w:sz w:val="24"/>
        </w:rPr>
        <w:t>(World Health Organization, 1978)</w:t>
      </w:r>
      <w:r w:rsidRPr="0010128E">
        <w:rPr>
          <w:rFonts w:ascii="Times New Roman" w:hAnsi="Times New Roman"/>
          <w:sz w:val="24"/>
        </w:rPr>
        <w:t xml:space="preserve">. This conference noted the importance of PHC access because it is often the first point of contact with a health system </w:t>
      </w:r>
      <w:r w:rsidR="00AE4ABF" w:rsidRPr="0010128E">
        <w:rPr>
          <w:rFonts w:ascii="Times New Roman" w:hAnsi="Times New Roman"/>
          <w:noProof/>
          <w:sz w:val="24"/>
        </w:rPr>
        <w:t>(WHO, 2008)</w:t>
      </w:r>
      <w:r w:rsidRPr="0010128E">
        <w:rPr>
          <w:rFonts w:ascii="Times New Roman" w:hAnsi="Times New Roman"/>
          <w:sz w:val="24"/>
        </w:rPr>
        <w:t xml:space="preserve">. This is especially significant in the sub-Saharan African context where there is a high burden of infectious, controllable disease </w:t>
      </w:r>
      <w:r w:rsidR="00AE4ABF" w:rsidRPr="0010128E">
        <w:rPr>
          <w:rFonts w:ascii="Times New Roman" w:hAnsi="Times New Roman"/>
          <w:noProof/>
          <w:sz w:val="24"/>
        </w:rPr>
        <w:t>(Dambisya &amp; Ichoku, 2012)</w:t>
      </w:r>
      <w:r w:rsidRPr="0010128E">
        <w:rPr>
          <w:rFonts w:ascii="Times New Roman" w:hAnsi="Times New Roman"/>
          <w:sz w:val="24"/>
        </w:rPr>
        <w:t xml:space="preserve">. Consequently, the push for PHC was selected as an ideal means for achieving “Heath for All by the Year 2000”, a goal that had been set in 1975 by the World Health Assembly (International Conference on PHC, Burkina Faso). </w:t>
      </w:r>
    </w:p>
    <w:p w14:paraId="1E8CD0A6" w14:textId="77777777" w:rsidR="0061060E" w:rsidRPr="0010128E" w:rsidRDefault="0061060E" w:rsidP="00CF326F">
      <w:pPr>
        <w:spacing w:line="480" w:lineRule="auto"/>
        <w:ind w:firstLine="720"/>
        <w:rPr>
          <w:rFonts w:ascii="Times New Roman" w:hAnsi="Times New Roman"/>
          <w:sz w:val="24"/>
        </w:rPr>
      </w:pPr>
      <w:r w:rsidRPr="0010128E">
        <w:rPr>
          <w:rFonts w:ascii="Times New Roman" w:hAnsi="Times New Roman"/>
          <w:sz w:val="24"/>
        </w:rPr>
        <w:t xml:space="preserve">Founded on the concept that health is a fundamental human right, PHC can be seen as a vital tool in guiding health policy in a government’s approach to achieving universal and equitable access to health care. </w:t>
      </w:r>
      <w:r w:rsidR="00C2650F" w:rsidRPr="0010128E">
        <w:rPr>
          <w:rFonts w:ascii="Times New Roman" w:hAnsi="Times New Roman"/>
          <w:sz w:val="24"/>
        </w:rPr>
        <w:t xml:space="preserve">Subsequently, PHC has been </w:t>
      </w:r>
      <w:r w:rsidRPr="0010128E">
        <w:rPr>
          <w:rFonts w:ascii="Times New Roman" w:hAnsi="Times New Roman"/>
          <w:sz w:val="24"/>
        </w:rPr>
        <w:t xml:space="preserve">adopted as a strategy for enhancing overall efficiency and health system performance and </w:t>
      </w:r>
      <w:r w:rsidR="00C2650F" w:rsidRPr="0010128E">
        <w:rPr>
          <w:rFonts w:ascii="Times New Roman" w:hAnsi="Times New Roman"/>
          <w:sz w:val="24"/>
        </w:rPr>
        <w:t>as</w:t>
      </w:r>
      <w:r w:rsidRPr="0010128E">
        <w:rPr>
          <w:rFonts w:ascii="Times New Roman" w:hAnsi="Times New Roman"/>
          <w:sz w:val="24"/>
        </w:rPr>
        <w:t xml:space="preserve"> a critical tool in improving health outcomes of a population (International Conference)</w:t>
      </w:r>
      <w:r w:rsidR="00B476E3" w:rsidRPr="0010128E">
        <w:rPr>
          <w:rFonts w:ascii="Times New Roman" w:hAnsi="Times New Roman"/>
          <w:sz w:val="24"/>
        </w:rPr>
        <w:t>.</w:t>
      </w:r>
    </w:p>
    <w:p w14:paraId="1B2D1FBD" w14:textId="77777777" w:rsidR="00224D6B" w:rsidRPr="0010128E" w:rsidRDefault="00224D6B" w:rsidP="008325B6">
      <w:pPr>
        <w:pStyle w:val="Heading2"/>
        <w:spacing w:line="480" w:lineRule="auto"/>
      </w:pPr>
      <w:bookmarkStart w:id="7" w:name="_Toc206320774"/>
      <w:r w:rsidRPr="0010128E">
        <w:t>Equity</w:t>
      </w:r>
      <w:bookmarkEnd w:id="7"/>
    </w:p>
    <w:p w14:paraId="2D274850" w14:textId="77777777" w:rsidR="000161F1" w:rsidRPr="0010128E" w:rsidRDefault="00224D6B" w:rsidP="00224D6B">
      <w:pPr>
        <w:spacing w:line="480" w:lineRule="auto"/>
        <w:ind w:firstLine="720"/>
        <w:rPr>
          <w:rFonts w:ascii="Times New Roman" w:hAnsi="Times New Roman"/>
          <w:sz w:val="24"/>
        </w:rPr>
      </w:pPr>
      <w:r w:rsidRPr="0010128E">
        <w:rPr>
          <w:rFonts w:ascii="Times New Roman" w:hAnsi="Times New Roman"/>
          <w:sz w:val="24"/>
        </w:rPr>
        <w:t xml:space="preserve">The Alma Ata Declaration marked the first notable concern for </w:t>
      </w:r>
      <w:r w:rsidR="000161F1" w:rsidRPr="0010128E">
        <w:rPr>
          <w:rFonts w:ascii="Times New Roman" w:hAnsi="Times New Roman"/>
          <w:sz w:val="24"/>
        </w:rPr>
        <w:t xml:space="preserve">health </w:t>
      </w:r>
      <w:r w:rsidRPr="0010128E">
        <w:rPr>
          <w:rFonts w:ascii="Times New Roman" w:hAnsi="Times New Roman"/>
          <w:sz w:val="24"/>
        </w:rPr>
        <w:t xml:space="preserve">equity with its </w:t>
      </w:r>
      <w:r w:rsidR="00C2650F" w:rsidRPr="0010128E">
        <w:rPr>
          <w:rFonts w:ascii="Times New Roman" w:hAnsi="Times New Roman"/>
          <w:sz w:val="24"/>
        </w:rPr>
        <w:t>petition</w:t>
      </w:r>
      <w:r w:rsidRPr="0010128E">
        <w:rPr>
          <w:rFonts w:ascii="Times New Roman" w:hAnsi="Times New Roman"/>
          <w:sz w:val="24"/>
        </w:rPr>
        <w:t xml:space="preserve"> for “health for all”. The Declaration further deemed primary health care as the most efficient (financially and distributional) way to reduce health inequities. Equity as it relates to health has </w:t>
      </w:r>
      <w:r w:rsidR="00C2650F" w:rsidRPr="0010128E">
        <w:rPr>
          <w:rFonts w:ascii="Times New Roman" w:hAnsi="Times New Roman"/>
          <w:sz w:val="24"/>
        </w:rPr>
        <w:t xml:space="preserve">various components including </w:t>
      </w:r>
      <w:r w:rsidRPr="0010128E">
        <w:rPr>
          <w:rFonts w:ascii="Times New Roman" w:hAnsi="Times New Roman"/>
          <w:sz w:val="24"/>
        </w:rPr>
        <w:t xml:space="preserve">equity in health service delivery, and equity in health financing (Bravement, 1998). </w:t>
      </w:r>
    </w:p>
    <w:p w14:paraId="570DF6CF" w14:textId="77777777" w:rsidR="00224D6B" w:rsidRPr="0010128E" w:rsidRDefault="00224D6B" w:rsidP="00224D6B">
      <w:pPr>
        <w:spacing w:line="480" w:lineRule="auto"/>
        <w:ind w:firstLine="720"/>
        <w:rPr>
          <w:rFonts w:ascii="Times New Roman" w:hAnsi="Times New Roman"/>
          <w:sz w:val="24"/>
        </w:rPr>
      </w:pPr>
      <w:r w:rsidRPr="0010128E">
        <w:rPr>
          <w:rFonts w:ascii="Times New Roman" w:hAnsi="Times New Roman"/>
          <w:sz w:val="24"/>
        </w:rPr>
        <w:t>Health inequalities are not always regarded as inequities; inequities specifically refer to group disparities (i.e. income, geographic location), whereas inequalities are the result of inevitable and unavoidable conditions (i.e. biological variations) (Whitehead, 1992). In other words, health inequality is a positive or descriptive notion of what exists, while health equity is a normative notion of what should be (Ong, Kelaher, Anderson, &amp; Carter, 2009). While no single definition of equity exists,</w:t>
      </w:r>
      <w:r w:rsidR="00C2650F" w:rsidRPr="0010128E">
        <w:rPr>
          <w:rFonts w:ascii="Times New Roman" w:hAnsi="Times New Roman"/>
          <w:sz w:val="24"/>
        </w:rPr>
        <w:t xml:space="preserve"> it is helpful to specify how equity is achieved. </w:t>
      </w:r>
      <w:r w:rsidRPr="0010128E">
        <w:rPr>
          <w:rFonts w:ascii="Times New Roman" w:hAnsi="Times New Roman"/>
          <w:sz w:val="24"/>
        </w:rPr>
        <w:t xml:space="preserve">Ong et al. (2009) state that equity in health is achieved via the opportunity to achieve health potential, which is determined through factors such as access, utilization and quality. It is important to note that inequities, as </w:t>
      </w:r>
      <w:r w:rsidR="00C2650F" w:rsidRPr="0010128E">
        <w:rPr>
          <w:rFonts w:ascii="Times New Roman" w:hAnsi="Times New Roman"/>
          <w:sz w:val="24"/>
        </w:rPr>
        <w:t>specified</w:t>
      </w:r>
      <w:r w:rsidRPr="0010128E">
        <w:rPr>
          <w:rFonts w:ascii="Times New Roman" w:hAnsi="Times New Roman"/>
          <w:sz w:val="24"/>
        </w:rPr>
        <w:t xml:space="preserve"> by the International Society for Equity in Health, are </w:t>
      </w:r>
      <w:r w:rsidR="000161F1" w:rsidRPr="0010128E">
        <w:rPr>
          <w:rFonts w:ascii="Times New Roman" w:hAnsi="Times New Roman"/>
          <w:sz w:val="24"/>
        </w:rPr>
        <w:t>capable of repair</w:t>
      </w:r>
      <w:r w:rsidRPr="0010128E">
        <w:rPr>
          <w:rFonts w:ascii="Times New Roman" w:hAnsi="Times New Roman"/>
          <w:sz w:val="24"/>
        </w:rPr>
        <w:t xml:space="preserve">.  </w:t>
      </w:r>
    </w:p>
    <w:p w14:paraId="4DC2438E" w14:textId="77777777" w:rsidR="00224D6B" w:rsidRPr="0010128E" w:rsidRDefault="00224D6B" w:rsidP="00224D6B">
      <w:pPr>
        <w:spacing w:line="480" w:lineRule="auto"/>
        <w:ind w:firstLine="720"/>
        <w:rPr>
          <w:rFonts w:ascii="Times New Roman" w:hAnsi="Times New Roman"/>
          <w:sz w:val="24"/>
        </w:rPr>
      </w:pPr>
      <w:r w:rsidRPr="0010128E">
        <w:rPr>
          <w:rFonts w:ascii="Times New Roman" w:hAnsi="Times New Roman"/>
          <w:sz w:val="24"/>
        </w:rPr>
        <w:t>Equity in the provision of healthcare is to ensure access to a minimum standard of healthcare according to need for all (Zere, Moeti, Kirigia, Mwase, &amp; Kataika, 2</w:t>
      </w:r>
      <w:r w:rsidR="00C2650F" w:rsidRPr="0010128E">
        <w:rPr>
          <w:rFonts w:ascii="Times New Roman" w:hAnsi="Times New Roman"/>
          <w:sz w:val="24"/>
        </w:rPr>
        <w:t xml:space="preserve">006). In other words, it means </w:t>
      </w:r>
      <w:r w:rsidRPr="0010128E">
        <w:rPr>
          <w:rFonts w:ascii="Times New Roman" w:hAnsi="Times New Roman"/>
          <w:i/>
          <w:sz w:val="24"/>
        </w:rPr>
        <w:t>equal access for equal need</w:t>
      </w:r>
      <w:r w:rsidRPr="0010128E">
        <w:rPr>
          <w:rFonts w:ascii="Times New Roman" w:hAnsi="Times New Roman"/>
          <w:sz w:val="24"/>
        </w:rPr>
        <w:t xml:space="preserve">. Achieving equity of access </w:t>
      </w:r>
      <w:r w:rsidR="00AE089D" w:rsidRPr="0010128E">
        <w:rPr>
          <w:rFonts w:ascii="Times New Roman" w:hAnsi="Times New Roman"/>
          <w:sz w:val="24"/>
        </w:rPr>
        <w:t>to health services is process oriented.</w:t>
      </w:r>
      <w:r w:rsidRPr="0010128E">
        <w:rPr>
          <w:rFonts w:ascii="Times New Roman" w:hAnsi="Times New Roman"/>
          <w:sz w:val="24"/>
        </w:rPr>
        <w:t xml:space="preserve"> Zere et al. (2006) further define access </w:t>
      </w:r>
      <w:r w:rsidR="00C2650F" w:rsidRPr="0010128E">
        <w:rPr>
          <w:rFonts w:ascii="Times New Roman" w:hAnsi="Times New Roman"/>
          <w:sz w:val="24"/>
        </w:rPr>
        <w:t>as</w:t>
      </w:r>
      <w:r w:rsidRPr="0010128E">
        <w:rPr>
          <w:rFonts w:ascii="Times New Roman" w:hAnsi="Times New Roman"/>
          <w:sz w:val="24"/>
        </w:rPr>
        <w:t xml:space="preserve"> the removal</w:t>
      </w:r>
      <w:r w:rsidR="00C2650F" w:rsidRPr="0010128E">
        <w:rPr>
          <w:rFonts w:ascii="Times New Roman" w:hAnsi="Times New Roman"/>
          <w:sz w:val="24"/>
        </w:rPr>
        <w:t xml:space="preserve"> of barriers (e.g. geographical and financial)</w:t>
      </w:r>
      <w:r w:rsidRPr="0010128E">
        <w:rPr>
          <w:rFonts w:ascii="Times New Roman" w:hAnsi="Times New Roman"/>
          <w:sz w:val="24"/>
        </w:rPr>
        <w:t xml:space="preserve"> that disadvantaged groups often face in obtaining health care. </w:t>
      </w:r>
      <w:r w:rsidR="00AE089D" w:rsidRPr="0010128E">
        <w:rPr>
          <w:rFonts w:ascii="Times New Roman" w:hAnsi="Times New Roman"/>
          <w:sz w:val="24"/>
        </w:rPr>
        <w:t>Consequently, one way to measure e</w:t>
      </w:r>
      <w:r w:rsidRPr="0010128E">
        <w:rPr>
          <w:rFonts w:ascii="Times New Roman" w:hAnsi="Times New Roman"/>
          <w:sz w:val="24"/>
        </w:rPr>
        <w:t xml:space="preserve">quity in health </w:t>
      </w:r>
      <w:r w:rsidRPr="0010128E">
        <w:rPr>
          <w:rFonts w:ascii="Times New Roman" w:hAnsi="Times New Roman"/>
          <w:i/>
          <w:sz w:val="24"/>
        </w:rPr>
        <w:t>provision</w:t>
      </w:r>
      <w:r w:rsidRPr="0010128E">
        <w:rPr>
          <w:rFonts w:ascii="Times New Roman" w:hAnsi="Times New Roman"/>
          <w:sz w:val="24"/>
        </w:rPr>
        <w:t xml:space="preserve"> </w:t>
      </w:r>
      <w:r w:rsidR="00AE089D" w:rsidRPr="0010128E">
        <w:rPr>
          <w:rFonts w:ascii="Times New Roman" w:hAnsi="Times New Roman"/>
          <w:sz w:val="24"/>
        </w:rPr>
        <w:t xml:space="preserve">is by </w:t>
      </w:r>
      <w:r w:rsidRPr="0010128E">
        <w:rPr>
          <w:rFonts w:ascii="Times New Roman" w:hAnsi="Times New Roman"/>
          <w:sz w:val="24"/>
        </w:rPr>
        <w:t xml:space="preserve">comparing socio-economic status to health status, analyzing the degree of inequality in between. </w:t>
      </w:r>
    </w:p>
    <w:p w14:paraId="30A68F0E" w14:textId="77777777" w:rsidR="005D3311" w:rsidRPr="0010128E" w:rsidRDefault="005D3311" w:rsidP="005D3311">
      <w:pPr>
        <w:spacing w:line="480" w:lineRule="auto"/>
        <w:ind w:firstLine="720"/>
        <w:rPr>
          <w:rFonts w:ascii="Times New Roman" w:hAnsi="Times New Roman"/>
          <w:sz w:val="24"/>
        </w:rPr>
      </w:pPr>
      <w:r w:rsidRPr="0010128E">
        <w:rPr>
          <w:rFonts w:ascii="Times New Roman" w:hAnsi="Times New Roman"/>
          <w:sz w:val="24"/>
        </w:rPr>
        <w:t xml:space="preserve">Based on the review of other country’s efforts, it is determined that the main PHC strategies for achieving equity can be defined as: decentralization, user fee abolition, and contracting out services. In addition to these PHC strategies, the literature dictates equity goals of cost, access (geographical and financially), and service provision. These PHC strategies and equity goals serve as a guide to evaluate and measure the effort of the Tanzanian government in providing PHC services. </w:t>
      </w:r>
    </w:p>
    <w:p w14:paraId="00CAD838" w14:textId="3ED64F74" w:rsidR="00C2650F" w:rsidRPr="0010128E" w:rsidRDefault="00224D6B" w:rsidP="008325B6">
      <w:pPr>
        <w:spacing w:line="480" w:lineRule="auto"/>
        <w:ind w:firstLine="720"/>
        <w:rPr>
          <w:rFonts w:ascii="Times New Roman" w:hAnsi="Times New Roman"/>
          <w:sz w:val="24"/>
        </w:rPr>
      </w:pPr>
      <w:r w:rsidRPr="0010128E">
        <w:rPr>
          <w:rFonts w:ascii="Times New Roman" w:hAnsi="Times New Roman"/>
          <w:sz w:val="24"/>
        </w:rPr>
        <w:t xml:space="preserve">No discussion on equity is complete without distinguishing between vertical and horizontal equity. As defined in the literature, vertical equity is subject to value-based judgments that </w:t>
      </w:r>
      <w:r w:rsidR="00C2650F" w:rsidRPr="0010128E">
        <w:rPr>
          <w:rFonts w:ascii="Times New Roman" w:hAnsi="Times New Roman"/>
          <w:sz w:val="24"/>
        </w:rPr>
        <w:t>imply</w:t>
      </w:r>
      <w:r w:rsidRPr="0010128E">
        <w:rPr>
          <w:rFonts w:ascii="Times New Roman" w:hAnsi="Times New Roman"/>
          <w:sz w:val="24"/>
        </w:rPr>
        <w:t xml:space="preserve"> preferential treatment for those deemed worse off. Horizontal equity, on the other hand, presents equal access </w:t>
      </w:r>
      <w:r w:rsidR="00932B1F">
        <w:rPr>
          <w:rFonts w:ascii="Times New Roman" w:hAnsi="Times New Roman"/>
          <w:sz w:val="24"/>
        </w:rPr>
        <w:t xml:space="preserve">to </w:t>
      </w:r>
      <w:r w:rsidR="00AE089D" w:rsidRPr="0010128E">
        <w:rPr>
          <w:rFonts w:ascii="Times New Roman" w:hAnsi="Times New Roman"/>
          <w:sz w:val="24"/>
        </w:rPr>
        <w:t>all</w:t>
      </w:r>
      <w:r w:rsidRPr="0010128E">
        <w:rPr>
          <w:rFonts w:ascii="Times New Roman" w:hAnsi="Times New Roman"/>
          <w:sz w:val="24"/>
        </w:rPr>
        <w:t xml:space="preserve"> (Goddard &amp; Smith, 2001). </w:t>
      </w:r>
    </w:p>
    <w:p w14:paraId="00D57E71" w14:textId="77777777" w:rsidR="00224D6B" w:rsidRPr="0010128E" w:rsidRDefault="00224D6B" w:rsidP="008325B6">
      <w:pPr>
        <w:pStyle w:val="Heading2"/>
        <w:spacing w:line="480" w:lineRule="auto"/>
      </w:pPr>
      <w:bookmarkStart w:id="8" w:name="_Toc206320775"/>
      <w:r w:rsidRPr="0010128E">
        <w:t>Primary Health Care in Other Countries</w:t>
      </w:r>
      <w:bookmarkEnd w:id="8"/>
    </w:p>
    <w:p w14:paraId="19605AF8" w14:textId="7355B008" w:rsidR="00FE26F0" w:rsidRPr="0010128E" w:rsidRDefault="00673E39" w:rsidP="00AE089D">
      <w:pPr>
        <w:spacing w:line="480" w:lineRule="auto"/>
        <w:ind w:firstLine="720"/>
        <w:rPr>
          <w:rFonts w:ascii="Times New Roman" w:hAnsi="Times New Roman"/>
          <w:sz w:val="24"/>
        </w:rPr>
      </w:pPr>
      <w:r w:rsidRPr="0010128E">
        <w:rPr>
          <w:rFonts w:ascii="Times New Roman" w:hAnsi="Times New Roman"/>
          <w:sz w:val="24"/>
        </w:rPr>
        <w:t xml:space="preserve">Over 30 years since the Alma-Ata declaration of </w:t>
      </w:r>
      <w:r w:rsidR="00AE089D" w:rsidRPr="0010128E">
        <w:rPr>
          <w:rFonts w:ascii="Times New Roman" w:hAnsi="Times New Roman"/>
          <w:sz w:val="24"/>
        </w:rPr>
        <w:t>“h</w:t>
      </w:r>
      <w:r w:rsidRPr="0010128E">
        <w:rPr>
          <w:rFonts w:ascii="Times New Roman" w:hAnsi="Times New Roman"/>
          <w:sz w:val="24"/>
        </w:rPr>
        <w:t>ealth for all</w:t>
      </w:r>
      <w:r w:rsidR="00AE089D" w:rsidRPr="0010128E">
        <w:rPr>
          <w:rFonts w:ascii="Times New Roman" w:hAnsi="Times New Roman"/>
          <w:sz w:val="24"/>
        </w:rPr>
        <w:t>”</w:t>
      </w:r>
      <w:r w:rsidRPr="0010128E">
        <w:rPr>
          <w:rFonts w:ascii="Times New Roman" w:hAnsi="Times New Roman"/>
          <w:sz w:val="24"/>
        </w:rPr>
        <w:t xml:space="preserve">, many countries have put time and energy into establishing a strong primary health system based on equitable distribution of health </w:t>
      </w:r>
      <w:r w:rsidR="00AE089D" w:rsidRPr="0010128E">
        <w:rPr>
          <w:rFonts w:ascii="Times New Roman" w:hAnsi="Times New Roman"/>
          <w:sz w:val="24"/>
        </w:rPr>
        <w:t xml:space="preserve">services </w:t>
      </w:r>
      <w:r w:rsidRPr="0010128E">
        <w:rPr>
          <w:rFonts w:ascii="Times New Roman" w:hAnsi="Times New Roman"/>
          <w:sz w:val="24"/>
        </w:rPr>
        <w:t>to meet goals of social justice, responsiveness, financial protection and</w:t>
      </w:r>
      <w:r w:rsidR="00C2650F" w:rsidRPr="0010128E">
        <w:rPr>
          <w:rFonts w:ascii="Times New Roman" w:hAnsi="Times New Roman"/>
          <w:sz w:val="24"/>
        </w:rPr>
        <w:t xml:space="preserve"> solidarity—p</w:t>
      </w:r>
      <w:r w:rsidRPr="0010128E">
        <w:rPr>
          <w:rFonts w:ascii="Times New Roman" w:hAnsi="Times New Roman"/>
          <w:sz w:val="24"/>
        </w:rPr>
        <w:t xml:space="preserve">articularly for vulnerable groups in rural areas (Rawaf, Maeseneer, &amp; Starfield, 2008; Biswas, et al., 2009; Kruk, et al., 2010). </w:t>
      </w:r>
      <w:r w:rsidR="00AE089D" w:rsidRPr="0010128E">
        <w:rPr>
          <w:rFonts w:ascii="Times New Roman" w:hAnsi="Times New Roman"/>
          <w:sz w:val="24"/>
        </w:rPr>
        <w:t xml:space="preserve">Rawaf, Maeseneer, and Starfield (2008) identify </w:t>
      </w:r>
      <w:r w:rsidR="00932B1F">
        <w:rPr>
          <w:rFonts w:ascii="Times New Roman" w:hAnsi="Times New Roman"/>
          <w:sz w:val="24"/>
        </w:rPr>
        <w:t xml:space="preserve">four </w:t>
      </w:r>
      <w:r w:rsidR="00AE089D" w:rsidRPr="0010128E">
        <w:rPr>
          <w:rFonts w:ascii="Times New Roman" w:hAnsi="Times New Roman"/>
          <w:sz w:val="24"/>
        </w:rPr>
        <w:t xml:space="preserve">essential features of a primary health care system: accessibility, person-focused, comprehensive, and universal. </w:t>
      </w:r>
    </w:p>
    <w:p w14:paraId="208E97A0" w14:textId="77777777" w:rsidR="00673E39" w:rsidRPr="0010128E" w:rsidRDefault="00AE089D" w:rsidP="00AE089D">
      <w:pPr>
        <w:spacing w:line="480" w:lineRule="auto"/>
        <w:ind w:firstLine="720"/>
        <w:rPr>
          <w:rFonts w:ascii="Times New Roman" w:hAnsi="Times New Roman"/>
          <w:sz w:val="24"/>
        </w:rPr>
      </w:pPr>
      <w:r w:rsidRPr="0010128E">
        <w:rPr>
          <w:rFonts w:ascii="Times New Roman" w:hAnsi="Times New Roman"/>
          <w:sz w:val="24"/>
        </w:rPr>
        <w:t xml:space="preserve">Investing in the affordability and quality of primary health care has been shown to be one of the most sustainable solutions for a health system (Biswas, et al., 2009). </w:t>
      </w:r>
      <w:r w:rsidR="00673E39" w:rsidRPr="0010128E">
        <w:rPr>
          <w:rFonts w:ascii="Times New Roman" w:hAnsi="Times New Roman"/>
          <w:sz w:val="24"/>
        </w:rPr>
        <w:t>Research at the macro level is overwhelming</w:t>
      </w:r>
      <w:r w:rsidR="00C12F63" w:rsidRPr="0010128E">
        <w:rPr>
          <w:rFonts w:ascii="Times New Roman" w:hAnsi="Times New Roman"/>
          <w:sz w:val="24"/>
        </w:rPr>
        <w:t>ly</w:t>
      </w:r>
      <w:r w:rsidR="00673E39" w:rsidRPr="0010128E">
        <w:rPr>
          <w:rFonts w:ascii="Times New Roman" w:hAnsi="Times New Roman"/>
          <w:sz w:val="24"/>
        </w:rPr>
        <w:t xml:space="preserve"> supportive of primary health care initiatives, showing that needs-based, comprehensive health care systems produce better health outcomes at a lower cost. The literature also tells us that a strong primary care system reduces social inequalities in health (Biswas et al., 2009; Kruk, et al., 2010).  </w:t>
      </w:r>
    </w:p>
    <w:p w14:paraId="195B90CF" w14:textId="4884C808" w:rsidR="00673E39" w:rsidRPr="0010128E" w:rsidRDefault="00673E39" w:rsidP="00673E39">
      <w:pPr>
        <w:spacing w:line="480" w:lineRule="auto"/>
        <w:ind w:firstLine="720"/>
        <w:rPr>
          <w:rFonts w:ascii="Times New Roman" w:hAnsi="Times New Roman"/>
          <w:sz w:val="24"/>
        </w:rPr>
      </w:pPr>
      <w:r w:rsidRPr="0010128E">
        <w:rPr>
          <w:rFonts w:ascii="Times New Roman" w:hAnsi="Times New Roman"/>
          <w:sz w:val="24"/>
        </w:rPr>
        <w:t>In particular, low- and middle-income countries have made primary care a keystone of their health systems as a way of expanding coverage to a range of preventive and curative services. Cuba, Iran, and Sri Lank</w:t>
      </w:r>
      <w:r w:rsidR="003D4AE1" w:rsidRPr="0010128E">
        <w:rPr>
          <w:rFonts w:ascii="Times New Roman" w:hAnsi="Times New Roman"/>
          <w:sz w:val="24"/>
        </w:rPr>
        <w:t xml:space="preserve">a are all historic examples of </w:t>
      </w:r>
      <w:r w:rsidRPr="0010128E">
        <w:rPr>
          <w:rFonts w:ascii="Times New Roman" w:hAnsi="Times New Roman"/>
          <w:sz w:val="24"/>
        </w:rPr>
        <w:t xml:space="preserve">primary care expansion that </w:t>
      </w:r>
      <w:r w:rsidR="00393683" w:rsidRPr="0010128E">
        <w:rPr>
          <w:rFonts w:ascii="Times New Roman" w:hAnsi="Times New Roman"/>
          <w:sz w:val="24"/>
        </w:rPr>
        <w:t>have resulted</w:t>
      </w:r>
      <w:r w:rsidRPr="0010128E">
        <w:rPr>
          <w:rFonts w:ascii="Times New Roman" w:hAnsi="Times New Roman"/>
          <w:sz w:val="24"/>
        </w:rPr>
        <w:t xml:space="preserve"> in near universal access to health care (Kruk et al., 2010). The establishment of a primary care facility network in Iran led to coverage of 85% of the rural population within twenty years (Kruk et al., 2010). Sri Lanka, a relatively poor country recovering from extensive conflict, universally covers its population with primary care and has utilization levels comparable to industrialized countries.</w:t>
      </w:r>
    </w:p>
    <w:p w14:paraId="68CF0F74" w14:textId="70D02615" w:rsidR="00AE089D" w:rsidRPr="0010128E" w:rsidRDefault="00673E39" w:rsidP="00673E39">
      <w:pPr>
        <w:spacing w:line="480" w:lineRule="auto"/>
        <w:ind w:firstLine="720"/>
        <w:rPr>
          <w:rFonts w:ascii="Times New Roman" w:hAnsi="Times New Roman"/>
          <w:sz w:val="24"/>
        </w:rPr>
      </w:pPr>
      <w:r w:rsidRPr="0010128E">
        <w:rPr>
          <w:rFonts w:ascii="Times New Roman" w:hAnsi="Times New Roman"/>
          <w:sz w:val="24"/>
        </w:rPr>
        <w:t>Latin American reforms have focused on equity in service utilization</w:t>
      </w:r>
      <w:r w:rsidR="00AE089D" w:rsidRPr="0010128E">
        <w:rPr>
          <w:rFonts w:ascii="Times New Roman" w:hAnsi="Times New Roman"/>
          <w:sz w:val="24"/>
        </w:rPr>
        <w:t xml:space="preserve"> (i.e. ensuring that health services are utilized by all income groups)</w:t>
      </w:r>
      <w:r w:rsidRPr="0010128E">
        <w:rPr>
          <w:rFonts w:ascii="Times New Roman" w:hAnsi="Times New Roman"/>
          <w:sz w:val="24"/>
        </w:rPr>
        <w:t xml:space="preserve"> and equity in health outcomes. </w:t>
      </w:r>
      <w:r w:rsidR="00AE089D" w:rsidRPr="0010128E">
        <w:rPr>
          <w:rFonts w:ascii="Times New Roman" w:hAnsi="Times New Roman"/>
          <w:sz w:val="24"/>
        </w:rPr>
        <w:t xml:space="preserve">In order to reduce the gap in access to services between rich and poor, </w:t>
      </w:r>
      <w:r w:rsidRPr="0010128E">
        <w:rPr>
          <w:rFonts w:ascii="Times New Roman" w:hAnsi="Times New Roman"/>
          <w:sz w:val="24"/>
        </w:rPr>
        <w:t xml:space="preserve">Costa Rica and Brazil chose economically disadvantaged areas of their countries for the implementation of their primary care initiatives (Rosero- Bixby, 2004). </w:t>
      </w:r>
      <w:r w:rsidR="009C5EF9">
        <w:rPr>
          <w:rFonts w:ascii="Times New Roman" w:hAnsi="Times New Roman"/>
          <w:sz w:val="24"/>
        </w:rPr>
        <w:t>I</w:t>
      </w:r>
      <w:r w:rsidRPr="0010128E">
        <w:rPr>
          <w:rFonts w:ascii="Times New Roman" w:hAnsi="Times New Roman"/>
          <w:sz w:val="24"/>
        </w:rPr>
        <w:t xml:space="preserve">n Mexico, the poor have enrolled disproportionately in the health </w:t>
      </w:r>
      <w:r w:rsidR="00AE089D" w:rsidRPr="0010128E">
        <w:rPr>
          <w:rFonts w:ascii="Times New Roman" w:hAnsi="Times New Roman"/>
          <w:sz w:val="24"/>
        </w:rPr>
        <w:t>insurance program</w:t>
      </w:r>
      <w:r w:rsidRPr="0010128E">
        <w:rPr>
          <w:rFonts w:ascii="Times New Roman" w:hAnsi="Times New Roman"/>
          <w:sz w:val="24"/>
        </w:rPr>
        <w:t xml:space="preserve"> Seguro Popular</w:t>
      </w:r>
      <w:r w:rsidR="00D274B9" w:rsidRPr="0010128E">
        <w:rPr>
          <w:rFonts w:ascii="Times New Roman" w:hAnsi="Times New Roman"/>
          <w:sz w:val="24"/>
        </w:rPr>
        <w:t xml:space="preserve">, a health insurance program covering primary care consultations and medicines </w:t>
      </w:r>
      <w:r w:rsidRPr="0010128E">
        <w:rPr>
          <w:rFonts w:ascii="Times New Roman" w:hAnsi="Times New Roman"/>
          <w:sz w:val="24"/>
        </w:rPr>
        <w:t>(Gakidou et al., 2006). Thailand has focused its primary care efforts on rural areas (i.e. physician supply, rural health insurance, and increasing the number of rural clinics). Vapattana-Wong et al. (2007) found among the poorest children</w:t>
      </w:r>
      <w:r w:rsidR="00AE089D" w:rsidRPr="0010128E">
        <w:rPr>
          <w:rFonts w:ascii="Times New Roman" w:hAnsi="Times New Roman"/>
          <w:sz w:val="24"/>
        </w:rPr>
        <w:t xml:space="preserve"> in Thailand</w:t>
      </w:r>
      <w:r w:rsidRPr="0010128E">
        <w:rPr>
          <w:rFonts w:ascii="Times New Roman" w:hAnsi="Times New Roman"/>
          <w:sz w:val="24"/>
        </w:rPr>
        <w:t xml:space="preserve">, relative mortality fell much faster than among richest children, decreasing the poor-rich gap in mortality by more than half between 1990 and 2000. </w:t>
      </w:r>
    </w:p>
    <w:p w14:paraId="6A90CAD0" w14:textId="77777777" w:rsidR="00673E39" w:rsidRPr="0010128E" w:rsidRDefault="00673E39" w:rsidP="00673E39">
      <w:pPr>
        <w:spacing w:line="480" w:lineRule="auto"/>
        <w:ind w:firstLine="720"/>
        <w:rPr>
          <w:rFonts w:ascii="Times New Roman" w:hAnsi="Times New Roman"/>
          <w:sz w:val="24"/>
        </w:rPr>
      </w:pPr>
      <w:r w:rsidRPr="0010128E">
        <w:rPr>
          <w:rFonts w:ascii="Times New Roman" w:hAnsi="Times New Roman"/>
          <w:sz w:val="24"/>
        </w:rPr>
        <w:t xml:space="preserve">The Australian landscape is such that diverse rural and remote communities face a lack of health care access (Humphreys &amp; Wakerman, 1008). In their quest for achieving health equity, </w:t>
      </w:r>
      <w:r w:rsidR="00393683" w:rsidRPr="0010128E">
        <w:rPr>
          <w:rFonts w:ascii="Times New Roman" w:hAnsi="Times New Roman"/>
          <w:sz w:val="24"/>
        </w:rPr>
        <w:t>the Australian government</w:t>
      </w:r>
      <w:r w:rsidRPr="0010128E">
        <w:rPr>
          <w:rFonts w:ascii="Times New Roman" w:hAnsi="Times New Roman"/>
          <w:sz w:val="24"/>
        </w:rPr>
        <w:t xml:space="preserve"> determined that a “one size fits all” approach is insufficient t</w:t>
      </w:r>
      <w:r w:rsidR="00393683" w:rsidRPr="0010128E">
        <w:rPr>
          <w:rFonts w:ascii="Times New Roman" w:hAnsi="Times New Roman"/>
          <w:sz w:val="24"/>
        </w:rPr>
        <w:t xml:space="preserve">o meet the diverse needs of its </w:t>
      </w:r>
      <w:r w:rsidRPr="0010128E">
        <w:rPr>
          <w:rFonts w:ascii="Times New Roman" w:hAnsi="Times New Roman"/>
          <w:sz w:val="24"/>
        </w:rPr>
        <w:t xml:space="preserve">people. Consequently, their reform has focused on service models that ensure key service requirements and community needs are met by taking into account the specific geographical, social, economic and cultural contexts that differentiate the many rural and remote communities. Focusing on rural areas </w:t>
      </w:r>
      <w:r w:rsidR="00393683" w:rsidRPr="0010128E">
        <w:rPr>
          <w:rFonts w:ascii="Times New Roman" w:hAnsi="Times New Roman"/>
          <w:sz w:val="24"/>
        </w:rPr>
        <w:t xml:space="preserve">and other vulnerable groups </w:t>
      </w:r>
      <w:r w:rsidRPr="0010128E">
        <w:rPr>
          <w:rFonts w:ascii="Times New Roman" w:hAnsi="Times New Roman"/>
          <w:sz w:val="24"/>
        </w:rPr>
        <w:t>provide</w:t>
      </w:r>
      <w:r w:rsidR="00393683" w:rsidRPr="0010128E">
        <w:rPr>
          <w:rFonts w:ascii="Times New Roman" w:hAnsi="Times New Roman"/>
          <w:sz w:val="24"/>
        </w:rPr>
        <w:t>s</w:t>
      </w:r>
      <w:r w:rsidRPr="0010128E">
        <w:rPr>
          <w:rFonts w:ascii="Times New Roman" w:hAnsi="Times New Roman"/>
          <w:sz w:val="24"/>
        </w:rPr>
        <w:t xml:space="preserve"> a common strategy to reduce inequities through the local delivery of health services (Kruk, et al. 2010). </w:t>
      </w:r>
    </w:p>
    <w:p w14:paraId="4FC184D9" w14:textId="77777777" w:rsidR="00673E39" w:rsidRPr="0010128E" w:rsidRDefault="00673E39" w:rsidP="00673E39">
      <w:pPr>
        <w:spacing w:line="480" w:lineRule="auto"/>
        <w:ind w:firstLine="720"/>
        <w:rPr>
          <w:rFonts w:ascii="Times New Roman" w:hAnsi="Times New Roman"/>
          <w:sz w:val="24"/>
        </w:rPr>
      </w:pPr>
      <w:r w:rsidRPr="0010128E">
        <w:rPr>
          <w:rFonts w:ascii="Times New Roman" w:hAnsi="Times New Roman"/>
          <w:sz w:val="24"/>
        </w:rPr>
        <w:t xml:space="preserve">In Brazil, reform policies have also been combined with </w:t>
      </w:r>
      <w:r w:rsidR="00AE089D" w:rsidRPr="0010128E">
        <w:rPr>
          <w:rFonts w:ascii="Times New Roman" w:hAnsi="Times New Roman"/>
          <w:sz w:val="24"/>
        </w:rPr>
        <w:t>the</w:t>
      </w:r>
      <w:r w:rsidRPr="0010128E">
        <w:rPr>
          <w:rFonts w:ascii="Times New Roman" w:hAnsi="Times New Roman"/>
          <w:sz w:val="24"/>
        </w:rPr>
        <w:t xml:space="preserve"> decentralization </w:t>
      </w:r>
      <w:r w:rsidR="00AE089D" w:rsidRPr="0010128E">
        <w:rPr>
          <w:rFonts w:ascii="Times New Roman" w:hAnsi="Times New Roman"/>
          <w:sz w:val="24"/>
        </w:rPr>
        <w:t>of health services delivery. This model focuses</w:t>
      </w:r>
      <w:r w:rsidRPr="0010128E">
        <w:rPr>
          <w:rFonts w:ascii="Times New Roman" w:hAnsi="Times New Roman"/>
          <w:sz w:val="24"/>
        </w:rPr>
        <w:t xml:space="preserve"> more on prevention and promotion (Atkinson, Fernandes, Carpara, &amp; Gideon, 2005). Decentralization has been the key to giving local health providers discretion to meet local needs and promote intersectoral collaboration while acting under the helm of a central policy focused on incentives. </w:t>
      </w:r>
    </w:p>
    <w:p w14:paraId="4E125944" w14:textId="6CBC7E4D" w:rsidR="00673E39" w:rsidRPr="0010128E" w:rsidRDefault="00673E39" w:rsidP="00673E39">
      <w:pPr>
        <w:spacing w:line="480" w:lineRule="auto"/>
        <w:ind w:firstLine="720"/>
        <w:rPr>
          <w:rFonts w:ascii="Times New Roman" w:hAnsi="Times New Roman"/>
          <w:sz w:val="24"/>
        </w:rPr>
      </w:pPr>
      <w:r w:rsidRPr="0010128E">
        <w:rPr>
          <w:rFonts w:ascii="Times New Roman" w:hAnsi="Times New Roman"/>
          <w:sz w:val="24"/>
        </w:rPr>
        <w:t xml:space="preserve">The onset of structural adjustment programs in the 1980s and 1990s brought an influx of user fees in health care services in Africa. These have proved to be a significant financial barrier to accessing services, and many countries have taken action to address this (Ridde &amp; Morestin, 2010). Fortunately, international aid agencies have been on board with </w:t>
      </w:r>
      <w:r w:rsidR="00393683" w:rsidRPr="0010128E">
        <w:rPr>
          <w:rFonts w:ascii="Times New Roman" w:hAnsi="Times New Roman"/>
          <w:sz w:val="24"/>
        </w:rPr>
        <w:t>fee</w:t>
      </w:r>
      <w:r w:rsidRPr="0010128E">
        <w:rPr>
          <w:rFonts w:ascii="Times New Roman" w:hAnsi="Times New Roman"/>
          <w:sz w:val="24"/>
        </w:rPr>
        <w:t xml:space="preserve"> abolishment and through their </w:t>
      </w:r>
      <w:r w:rsidR="00F5795F" w:rsidRPr="0010128E">
        <w:rPr>
          <w:rFonts w:ascii="Times New Roman" w:hAnsi="Times New Roman"/>
          <w:sz w:val="24"/>
        </w:rPr>
        <w:t>extensive</w:t>
      </w:r>
      <w:r w:rsidR="00F5795F" w:rsidRPr="0010128E">
        <w:rPr>
          <w:rStyle w:val="CommentReference"/>
          <w:rFonts w:ascii="Times New Roman" w:hAnsi="Times New Roman"/>
        </w:rPr>
        <w:t xml:space="preserve"> </w:t>
      </w:r>
      <w:r w:rsidRPr="0010128E">
        <w:rPr>
          <w:rFonts w:ascii="Times New Roman" w:hAnsi="Times New Roman"/>
          <w:sz w:val="24"/>
        </w:rPr>
        <w:t xml:space="preserve">study, researchers Ridde and Morestin (2010) found that </w:t>
      </w:r>
      <w:r w:rsidR="009C5EF9">
        <w:rPr>
          <w:rFonts w:ascii="Times New Roman" w:hAnsi="Times New Roman"/>
          <w:sz w:val="24"/>
        </w:rPr>
        <w:t xml:space="preserve">the </w:t>
      </w:r>
      <w:r w:rsidRPr="0010128E">
        <w:rPr>
          <w:rFonts w:ascii="Times New Roman" w:hAnsi="Times New Roman"/>
          <w:sz w:val="24"/>
        </w:rPr>
        <w:t xml:space="preserve">abolition of user fees has had positive effects on service utilization. </w:t>
      </w:r>
      <w:r w:rsidR="00711846" w:rsidRPr="0010128E">
        <w:rPr>
          <w:rFonts w:ascii="Times New Roman" w:hAnsi="Times New Roman"/>
          <w:sz w:val="24"/>
        </w:rPr>
        <w:t>Meessen et al. (2011) found that local African leaders in the</w:t>
      </w:r>
      <w:r w:rsidR="00204051" w:rsidRPr="0010128E">
        <w:rPr>
          <w:rFonts w:ascii="Times New Roman" w:hAnsi="Times New Roman"/>
          <w:sz w:val="24"/>
        </w:rPr>
        <w:t xml:space="preserve"> </w:t>
      </w:r>
      <w:r w:rsidRPr="0010128E">
        <w:rPr>
          <w:rFonts w:ascii="Times New Roman" w:hAnsi="Times New Roman"/>
          <w:sz w:val="24"/>
        </w:rPr>
        <w:t xml:space="preserve">sub-Saharan African countries of Burkina Faso, Burundi, Ghana, Liberia, Senegal, and Uganda are </w:t>
      </w:r>
      <w:r w:rsidR="00711846" w:rsidRPr="0010128E">
        <w:rPr>
          <w:rFonts w:ascii="Times New Roman" w:hAnsi="Times New Roman"/>
          <w:sz w:val="24"/>
        </w:rPr>
        <w:t xml:space="preserve">also </w:t>
      </w:r>
      <w:r w:rsidRPr="0010128E">
        <w:rPr>
          <w:rFonts w:ascii="Times New Roman" w:hAnsi="Times New Roman"/>
          <w:sz w:val="24"/>
        </w:rPr>
        <w:t xml:space="preserve">willing to take action to remove financial barriers that impact vulnerable groups, especially pregnant women and children. </w:t>
      </w:r>
      <w:r w:rsidR="00204051" w:rsidRPr="0010128E">
        <w:rPr>
          <w:rFonts w:ascii="Times New Roman" w:hAnsi="Times New Roman"/>
          <w:sz w:val="24"/>
        </w:rPr>
        <w:t>Specifically i</w:t>
      </w:r>
      <w:r w:rsidRPr="0010128E">
        <w:rPr>
          <w:rFonts w:ascii="Times New Roman" w:hAnsi="Times New Roman"/>
          <w:sz w:val="24"/>
        </w:rPr>
        <w:t xml:space="preserve">n Uganda, Moat and Abelson (2011) </w:t>
      </w:r>
      <w:r w:rsidR="00204051" w:rsidRPr="0010128E">
        <w:rPr>
          <w:rFonts w:ascii="Times New Roman" w:hAnsi="Times New Roman"/>
          <w:sz w:val="24"/>
        </w:rPr>
        <w:t xml:space="preserve">discovered the importance of interactions between formal and informal </w:t>
      </w:r>
      <w:r w:rsidR="00DB0993" w:rsidRPr="0010128E">
        <w:rPr>
          <w:rFonts w:ascii="Times New Roman" w:hAnsi="Times New Roman"/>
          <w:sz w:val="24"/>
        </w:rPr>
        <w:t>institutions</w:t>
      </w:r>
      <w:r w:rsidR="00204051" w:rsidRPr="0010128E">
        <w:rPr>
          <w:rFonts w:ascii="Times New Roman" w:hAnsi="Times New Roman"/>
          <w:sz w:val="24"/>
        </w:rPr>
        <w:t xml:space="preserve"> to abolish user fees for health services in 2001. </w:t>
      </w:r>
    </w:p>
    <w:p w14:paraId="30F756C7" w14:textId="77777777" w:rsidR="00673E39" w:rsidRPr="0010128E" w:rsidRDefault="00393683" w:rsidP="00B15801">
      <w:pPr>
        <w:spacing w:line="480" w:lineRule="auto"/>
        <w:ind w:firstLine="720"/>
        <w:rPr>
          <w:rFonts w:ascii="Times New Roman" w:hAnsi="Times New Roman"/>
          <w:sz w:val="24"/>
        </w:rPr>
      </w:pPr>
      <w:r w:rsidRPr="0010128E">
        <w:rPr>
          <w:rFonts w:ascii="Times New Roman" w:hAnsi="Times New Roman"/>
          <w:sz w:val="24"/>
        </w:rPr>
        <w:t>As another PHC strategy, c</w:t>
      </w:r>
      <w:r w:rsidR="00673E39" w:rsidRPr="0010128E">
        <w:rPr>
          <w:rFonts w:ascii="Times New Roman" w:hAnsi="Times New Roman"/>
          <w:sz w:val="24"/>
        </w:rPr>
        <w:t xml:space="preserve">ontracting out of PHC services </w:t>
      </w:r>
      <w:r w:rsidRPr="0010128E">
        <w:rPr>
          <w:rFonts w:ascii="Times New Roman" w:hAnsi="Times New Roman"/>
          <w:sz w:val="24"/>
        </w:rPr>
        <w:t xml:space="preserve">has become </w:t>
      </w:r>
      <w:r w:rsidR="00673E39" w:rsidRPr="0010128E">
        <w:rPr>
          <w:rFonts w:ascii="Times New Roman" w:hAnsi="Times New Roman"/>
          <w:sz w:val="24"/>
        </w:rPr>
        <w:t xml:space="preserve">increasingly popular </w:t>
      </w:r>
      <w:r w:rsidRPr="0010128E">
        <w:rPr>
          <w:rFonts w:ascii="Times New Roman" w:hAnsi="Times New Roman"/>
          <w:sz w:val="24"/>
        </w:rPr>
        <w:t xml:space="preserve">in low- and middle-income countries. This method helps to alleviate pressure on government facilities to provide all the PHC services. </w:t>
      </w:r>
      <w:r w:rsidR="00673E39" w:rsidRPr="0010128E">
        <w:rPr>
          <w:rFonts w:ascii="Times New Roman" w:hAnsi="Times New Roman"/>
          <w:sz w:val="24"/>
        </w:rPr>
        <w:t xml:space="preserve">Liu, Hotchkiss and Bose (2008) found that contracting out PHC services </w:t>
      </w:r>
      <w:r w:rsidRPr="0010128E">
        <w:rPr>
          <w:rFonts w:ascii="Times New Roman" w:hAnsi="Times New Roman"/>
          <w:sz w:val="24"/>
        </w:rPr>
        <w:t xml:space="preserve">to nongovernmental providers </w:t>
      </w:r>
      <w:r w:rsidR="008642DA" w:rsidRPr="0010128E">
        <w:rPr>
          <w:rFonts w:ascii="Times New Roman" w:hAnsi="Times New Roman"/>
          <w:sz w:val="24"/>
        </w:rPr>
        <w:t>improves access;</w:t>
      </w:r>
      <w:r w:rsidR="00673E39" w:rsidRPr="0010128E">
        <w:rPr>
          <w:rFonts w:ascii="Times New Roman" w:hAnsi="Times New Roman"/>
          <w:sz w:val="24"/>
        </w:rPr>
        <w:t xml:space="preserve"> however</w:t>
      </w:r>
      <w:r w:rsidR="008642DA" w:rsidRPr="0010128E">
        <w:rPr>
          <w:rFonts w:ascii="Times New Roman" w:hAnsi="Times New Roman"/>
          <w:sz w:val="24"/>
        </w:rPr>
        <w:t>,</w:t>
      </w:r>
      <w:r w:rsidR="00673E39" w:rsidRPr="0010128E">
        <w:rPr>
          <w:rFonts w:ascii="Times New Roman" w:hAnsi="Times New Roman"/>
          <w:sz w:val="24"/>
        </w:rPr>
        <w:t xml:space="preserve"> the effects on equity, quali</w:t>
      </w:r>
      <w:r w:rsidR="008642DA" w:rsidRPr="0010128E">
        <w:rPr>
          <w:rFonts w:ascii="Times New Roman" w:hAnsi="Times New Roman"/>
          <w:sz w:val="24"/>
        </w:rPr>
        <w:t>ty, and efficiency were unclear</w:t>
      </w:r>
      <w:r w:rsidR="00673E39" w:rsidRPr="0010128E">
        <w:rPr>
          <w:rFonts w:ascii="Times New Roman" w:hAnsi="Times New Roman"/>
          <w:sz w:val="24"/>
        </w:rPr>
        <w:t xml:space="preserve"> (Liu, Hotchkiss, &amp; Bose, 2008)</w:t>
      </w:r>
      <w:r w:rsidR="008642DA" w:rsidRPr="0010128E">
        <w:rPr>
          <w:rFonts w:ascii="Times New Roman" w:hAnsi="Times New Roman"/>
          <w:sz w:val="24"/>
        </w:rPr>
        <w:t>.</w:t>
      </w:r>
    </w:p>
    <w:p w14:paraId="1BC8D84D" w14:textId="658F2648" w:rsidR="00673E39" w:rsidRPr="0010128E" w:rsidRDefault="00224D6B" w:rsidP="00013862">
      <w:pPr>
        <w:spacing w:line="480" w:lineRule="auto"/>
        <w:rPr>
          <w:rFonts w:ascii="Times New Roman" w:hAnsi="Times New Roman"/>
          <w:sz w:val="24"/>
        </w:rPr>
      </w:pPr>
      <w:r w:rsidRPr="0010128E">
        <w:rPr>
          <w:rFonts w:ascii="Times New Roman" w:hAnsi="Times New Roman"/>
          <w:sz w:val="24"/>
        </w:rPr>
        <w:tab/>
      </w:r>
      <w:r w:rsidR="00013862" w:rsidRPr="0010128E">
        <w:rPr>
          <w:rFonts w:ascii="Times New Roman" w:hAnsi="Times New Roman"/>
          <w:sz w:val="24"/>
        </w:rPr>
        <w:t xml:space="preserve">As the objective of this essay is to explore the extent to which equitable primary health care (PHC) services are available to all citizens in Tanzania, </w:t>
      </w:r>
      <w:r w:rsidR="004E41A5" w:rsidRPr="0010128E">
        <w:rPr>
          <w:rFonts w:ascii="Times New Roman" w:hAnsi="Times New Roman"/>
          <w:sz w:val="24"/>
        </w:rPr>
        <w:t>the</w:t>
      </w:r>
      <w:r w:rsidR="00013862" w:rsidRPr="0010128E">
        <w:rPr>
          <w:rFonts w:ascii="Times New Roman" w:hAnsi="Times New Roman"/>
          <w:sz w:val="24"/>
        </w:rPr>
        <w:t xml:space="preserve"> following elements of the Tanzanian health care system are examined:  </w:t>
      </w:r>
      <w:r w:rsidR="00673E39" w:rsidRPr="0010128E">
        <w:rPr>
          <w:rFonts w:ascii="Times New Roman" w:hAnsi="Times New Roman"/>
          <w:sz w:val="24"/>
        </w:rPr>
        <w:t>decentralization, use</w:t>
      </w:r>
      <w:r w:rsidRPr="0010128E">
        <w:rPr>
          <w:rFonts w:ascii="Times New Roman" w:hAnsi="Times New Roman"/>
          <w:sz w:val="24"/>
        </w:rPr>
        <w:t>r</w:t>
      </w:r>
      <w:r w:rsidR="00673E39" w:rsidRPr="0010128E">
        <w:rPr>
          <w:rFonts w:ascii="Times New Roman" w:hAnsi="Times New Roman"/>
          <w:sz w:val="24"/>
        </w:rPr>
        <w:t xml:space="preserve"> fee</w:t>
      </w:r>
      <w:r w:rsidR="00013862" w:rsidRPr="0010128E">
        <w:rPr>
          <w:rFonts w:ascii="Times New Roman" w:hAnsi="Times New Roman"/>
          <w:sz w:val="24"/>
        </w:rPr>
        <w:t>s</w:t>
      </w:r>
      <w:r w:rsidR="004A3366">
        <w:rPr>
          <w:rFonts w:ascii="Times New Roman" w:hAnsi="Times New Roman"/>
          <w:sz w:val="24"/>
        </w:rPr>
        <w:t xml:space="preserve">, and service provision (including </w:t>
      </w:r>
      <w:r w:rsidR="00673E39" w:rsidRPr="0010128E">
        <w:rPr>
          <w:rFonts w:ascii="Times New Roman" w:hAnsi="Times New Roman"/>
          <w:sz w:val="24"/>
        </w:rPr>
        <w:t xml:space="preserve">contracting </w:t>
      </w:r>
      <w:r w:rsidR="00013862" w:rsidRPr="0010128E">
        <w:rPr>
          <w:rFonts w:ascii="Times New Roman" w:hAnsi="Times New Roman"/>
          <w:sz w:val="24"/>
        </w:rPr>
        <w:t xml:space="preserve">of </w:t>
      </w:r>
      <w:r w:rsidR="00673E39" w:rsidRPr="0010128E">
        <w:rPr>
          <w:rFonts w:ascii="Times New Roman" w:hAnsi="Times New Roman"/>
          <w:sz w:val="24"/>
        </w:rPr>
        <w:t>services</w:t>
      </w:r>
      <w:r w:rsidR="004A3366">
        <w:rPr>
          <w:rFonts w:ascii="Times New Roman" w:hAnsi="Times New Roman"/>
          <w:sz w:val="24"/>
        </w:rPr>
        <w:t xml:space="preserve"> </w:t>
      </w:r>
      <w:r w:rsidR="004E41A5" w:rsidRPr="0010128E">
        <w:rPr>
          <w:rFonts w:ascii="Times New Roman" w:hAnsi="Times New Roman"/>
          <w:sz w:val="24"/>
        </w:rPr>
        <w:t>and</w:t>
      </w:r>
      <w:r w:rsidR="002F18FD" w:rsidRPr="0010128E">
        <w:rPr>
          <w:rFonts w:ascii="Times New Roman" w:hAnsi="Times New Roman"/>
          <w:sz w:val="24"/>
        </w:rPr>
        <w:t xml:space="preserve"> </w:t>
      </w:r>
      <w:r w:rsidR="004A3366">
        <w:rPr>
          <w:rFonts w:ascii="Times New Roman" w:hAnsi="Times New Roman"/>
          <w:sz w:val="24"/>
        </w:rPr>
        <w:t>access)</w:t>
      </w:r>
      <w:r w:rsidR="004E41A5" w:rsidRPr="0010128E">
        <w:rPr>
          <w:rFonts w:ascii="Times New Roman" w:hAnsi="Times New Roman"/>
          <w:sz w:val="24"/>
        </w:rPr>
        <w:t>.</w:t>
      </w:r>
    </w:p>
    <w:p w14:paraId="031ECACF" w14:textId="77777777" w:rsidR="00C33627" w:rsidRPr="0010128E" w:rsidRDefault="00C33627" w:rsidP="00DB0993">
      <w:pPr>
        <w:pStyle w:val="Heading1"/>
        <w:rPr>
          <w:rFonts w:ascii="Times New Roman" w:hAnsi="Times New Roman"/>
        </w:rPr>
        <w:sectPr w:rsidR="00C33627" w:rsidRPr="0010128E" w:rsidSect="004B7721">
          <w:footerReference w:type="even" r:id="rId12"/>
          <w:footerReference w:type="default" r:id="rId13"/>
          <w:pgSz w:w="12240" w:h="15840"/>
          <w:pgMar w:top="1440" w:right="1440" w:bottom="1440" w:left="1440" w:header="720" w:footer="720" w:gutter="0"/>
          <w:cols w:space="720"/>
          <w:docGrid w:linePitch="360"/>
        </w:sectPr>
      </w:pPr>
    </w:p>
    <w:p w14:paraId="4F570997" w14:textId="77777777" w:rsidR="00C161D1" w:rsidRPr="0010128E" w:rsidRDefault="00C161D1" w:rsidP="00DB0993">
      <w:pPr>
        <w:pStyle w:val="Heading1"/>
        <w:rPr>
          <w:rFonts w:ascii="Times New Roman" w:hAnsi="Times New Roman"/>
        </w:rPr>
      </w:pPr>
      <w:bookmarkStart w:id="9" w:name="_Toc206320776"/>
      <w:r w:rsidRPr="0010128E">
        <w:rPr>
          <w:rFonts w:ascii="Times New Roman" w:hAnsi="Times New Roman"/>
        </w:rPr>
        <w:t>Methods</w:t>
      </w:r>
      <w:bookmarkEnd w:id="9"/>
    </w:p>
    <w:p w14:paraId="5917CE02" w14:textId="77777777" w:rsidR="004A43D3" w:rsidRPr="0010128E" w:rsidRDefault="008642DA" w:rsidP="004A43D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sz w:val="24"/>
        </w:rPr>
      </w:pPr>
      <w:r w:rsidRPr="0010128E">
        <w:rPr>
          <w:rFonts w:ascii="Times New Roman" w:hAnsi="Times New Roman"/>
          <w:sz w:val="24"/>
        </w:rPr>
        <w:tab/>
        <w:t xml:space="preserve">Since this is a theoretical essay, </w:t>
      </w:r>
      <w:r w:rsidR="009149BC" w:rsidRPr="0010128E">
        <w:rPr>
          <w:rFonts w:ascii="Times New Roman" w:hAnsi="Times New Roman"/>
          <w:sz w:val="24"/>
        </w:rPr>
        <w:t>the research was dependent on secondary sources and studies.</w:t>
      </w:r>
      <w:r w:rsidR="00C161D1" w:rsidRPr="0010128E">
        <w:rPr>
          <w:rFonts w:ascii="Times New Roman" w:hAnsi="Times New Roman"/>
          <w:sz w:val="24"/>
        </w:rPr>
        <w:t xml:space="preserve"> </w:t>
      </w:r>
      <w:r w:rsidR="004A43D3" w:rsidRPr="0010128E">
        <w:rPr>
          <w:rFonts w:ascii="Times New Roman" w:hAnsi="Times New Roman"/>
          <w:sz w:val="24"/>
        </w:rPr>
        <w:t>The methods are three-fold including: a comprehensive literature review, a review of Tanzanian health policies and programs, and a review of quantitative data related to health service provision in Tanzania.</w:t>
      </w:r>
    </w:p>
    <w:p w14:paraId="0146FFA4" w14:textId="0109EE87" w:rsidR="00C161D1" w:rsidRPr="0010128E" w:rsidRDefault="004A43D3" w:rsidP="00E77F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sz w:val="24"/>
        </w:rPr>
      </w:pPr>
      <w:r w:rsidRPr="0010128E">
        <w:rPr>
          <w:rFonts w:ascii="Times New Roman" w:hAnsi="Times New Roman"/>
          <w:sz w:val="24"/>
        </w:rPr>
        <w:tab/>
      </w:r>
      <w:r w:rsidR="009149BC" w:rsidRPr="0010128E">
        <w:rPr>
          <w:rFonts w:ascii="Times New Roman" w:hAnsi="Times New Roman"/>
          <w:sz w:val="24"/>
        </w:rPr>
        <w:t xml:space="preserve">A comprehensive review of the literature included </w:t>
      </w:r>
      <w:r w:rsidR="00C161D1" w:rsidRPr="0010128E">
        <w:rPr>
          <w:rFonts w:ascii="Times New Roman" w:hAnsi="Times New Roman"/>
          <w:sz w:val="24"/>
        </w:rPr>
        <w:t xml:space="preserve">searching for published and unpublished studies focused on PHC and health policy in Tanzania. </w:t>
      </w:r>
      <w:r w:rsidR="00C161D1" w:rsidRPr="0010128E">
        <w:rPr>
          <w:rFonts w:ascii="Times New Roman" w:hAnsi="Times New Roman"/>
          <w:color w:val="141413"/>
          <w:sz w:val="24"/>
        </w:rPr>
        <w:t>The review was of the published and grey literature using d</w:t>
      </w:r>
      <w:r w:rsidR="00C161D1" w:rsidRPr="0010128E">
        <w:rPr>
          <w:rFonts w:ascii="Times New Roman" w:hAnsi="Times New Roman"/>
          <w:sz w:val="24"/>
        </w:rPr>
        <w:t>atabases and information systems including Google Scholar, PubMed, EQUINET, World Bank reports, and WHO Statistical Information System (WHOSIS). Search strings were composed of permutations of “primary health care”, “health systems”, “health policy”, and “health reform” all within a Tanzanian context. Additionally, all Tanzanian government reports</w:t>
      </w:r>
      <w:r w:rsidR="008642DA" w:rsidRPr="0010128E">
        <w:rPr>
          <w:rFonts w:ascii="Times New Roman" w:hAnsi="Times New Roman"/>
          <w:sz w:val="24"/>
        </w:rPr>
        <w:t xml:space="preserve"> made available online</w:t>
      </w:r>
      <w:r w:rsidR="00C161D1" w:rsidRPr="0010128E">
        <w:rPr>
          <w:rFonts w:ascii="Times New Roman" w:hAnsi="Times New Roman"/>
          <w:sz w:val="24"/>
        </w:rPr>
        <w:t xml:space="preserve"> from the </w:t>
      </w:r>
      <w:r w:rsidR="006376F9">
        <w:rPr>
          <w:rFonts w:ascii="Times New Roman" w:hAnsi="Times New Roman"/>
          <w:sz w:val="24"/>
        </w:rPr>
        <w:t>MOHSW</w:t>
      </w:r>
      <w:r w:rsidR="00C161D1" w:rsidRPr="0010128E">
        <w:rPr>
          <w:rFonts w:ascii="Times New Roman" w:hAnsi="Times New Roman"/>
          <w:sz w:val="24"/>
        </w:rPr>
        <w:t xml:space="preserve"> within the last two decad</w:t>
      </w:r>
      <w:r w:rsidR="00393683" w:rsidRPr="0010128E">
        <w:rPr>
          <w:rFonts w:ascii="Times New Roman" w:hAnsi="Times New Roman"/>
          <w:sz w:val="24"/>
        </w:rPr>
        <w:t>es were reviewed. These include</w:t>
      </w:r>
      <w:r w:rsidR="00C161D1" w:rsidRPr="0010128E">
        <w:rPr>
          <w:rFonts w:ascii="Times New Roman" w:hAnsi="Times New Roman"/>
          <w:sz w:val="24"/>
        </w:rPr>
        <w:t xml:space="preserve"> the National Health Policy, the Health Sector Strategic Plan, the National Strategy for Growth and Reduction of Poverty, and the National Package of Essential Health Intervention reports.</w:t>
      </w:r>
      <w:r w:rsidR="004A0004" w:rsidRPr="0010128E">
        <w:rPr>
          <w:rFonts w:ascii="Times New Roman" w:hAnsi="Times New Roman"/>
          <w:sz w:val="24"/>
        </w:rPr>
        <w:t xml:space="preserve"> </w:t>
      </w:r>
    </w:p>
    <w:p w14:paraId="1BC9F30C" w14:textId="77777777" w:rsidR="00E77F35" w:rsidRPr="0010128E" w:rsidRDefault="00C161D1" w:rsidP="0022784C">
      <w:pPr>
        <w:spacing w:line="480" w:lineRule="auto"/>
        <w:rPr>
          <w:rFonts w:ascii="Times New Roman" w:hAnsi="Times New Roman"/>
        </w:rPr>
      </w:pPr>
      <w:r w:rsidRPr="0010128E">
        <w:rPr>
          <w:rFonts w:ascii="Times New Roman" w:hAnsi="Times New Roman"/>
          <w:sz w:val="24"/>
        </w:rPr>
        <w:tab/>
      </w:r>
      <w:r w:rsidR="00653EB3" w:rsidRPr="0010128E">
        <w:rPr>
          <w:rFonts w:ascii="Times New Roman" w:hAnsi="Times New Roman"/>
          <w:sz w:val="24"/>
        </w:rPr>
        <w:t xml:space="preserve">The </w:t>
      </w:r>
      <w:r w:rsidR="006A6C52" w:rsidRPr="0010128E">
        <w:rPr>
          <w:rFonts w:ascii="Times New Roman" w:hAnsi="Times New Roman"/>
          <w:sz w:val="24"/>
        </w:rPr>
        <w:t xml:space="preserve">analysis is </w:t>
      </w:r>
      <w:r w:rsidR="00653EB3" w:rsidRPr="0010128E">
        <w:rPr>
          <w:rFonts w:ascii="Times New Roman" w:hAnsi="Times New Roman"/>
          <w:sz w:val="24"/>
        </w:rPr>
        <w:t>a review of Tanzania’s efforts towards achieving equity in PHC</w:t>
      </w:r>
      <w:r w:rsidR="00E77F35" w:rsidRPr="0010128E">
        <w:rPr>
          <w:rFonts w:ascii="Times New Roman" w:hAnsi="Times New Roman"/>
          <w:sz w:val="24"/>
        </w:rPr>
        <w:t>,</w:t>
      </w:r>
      <w:r w:rsidR="00653EB3" w:rsidRPr="0010128E">
        <w:rPr>
          <w:rFonts w:ascii="Times New Roman" w:hAnsi="Times New Roman"/>
          <w:sz w:val="24"/>
        </w:rPr>
        <w:t xml:space="preserve"> as </w:t>
      </w:r>
      <w:r w:rsidR="00E77F35" w:rsidRPr="0010128E">
        <w:rPr>
          <w:rFonts w:ascii="Times New Roman" w:hAnsi="Times New Roman"/>
          <w:sz w:val="24"/>
        </w:rPr>
        <w:t xml:space="preserve">identified in the literature. This includes an analysis of </w:t>
      </w:r>
      <w:r w:rsidR="0022784C" w:rsidRPr="0010128E">
        <w:rPr>
          <w:rFonts w:ascii="Times New Roman" w:hAnsi="Times New Roman"/>
          <w:sz w:val="24"/>
        </w:rPr>
        <w:t>the Tanzanian health care system are under the subsections of decentralization, user fees, and service provision.</w:t>
      </w:r>
    </w:p>
    <w:p w14:paraId="2D7DDD3E" w14:textId="77777777" w:rsidR="00CC2D2F" w:rsidRPr="0010128E" w:rsidRDefault="00E77F35" w:rsidP="00A45F8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sz w:val="24"/>
        </w:rPr>
      </w:pPr>
      <w:r w:rsidRPr="0010128E">
        <w:rPr>
          <w:rFonts w:ascii="Times New Roman" w:hAnsi="Times New Roman"/>
          <w:sz w:val="24"/>
        </w:rPr>
        <w:tab/>
      </w:r>
      <w:r w:rsidR="00653EB3" w:rsidRPr="0010128E">
        <w:rPr>
          <w:rFonts w:ascii="Times New Roman" w:hAnsi="Times New Roman"/>
          <w:sz w:val="24"/>
        </w:rPr>
        <w:t xml:space="preserve">In addition to a review of Tanzanian health policy, </w:t>
      </w:r>
      <w:r w:rsidR="00C161D1" w:rsidRPr="0010128E">
        <w:rPr>
          <w:rFonts w:ascii="Times New Roman" w:hAnsi="Times New Roman"/>
          <w:sz w:val="24"/>
        </w:rPr>
        <w:t xml:space="preserve">quantitative data from the 2006 Tanzania Service Provision Assessment Survey </w:t>
      </w:r>
      <w:r w:rsidR="00AE4ABF" w:rsidRPr="0010128E">
        <w:rPr>
          <w:rFonts w:ascii="Times New Roman" w:hAnsi="Times New Roman"/>
          <w:noProof/>
          <w:sz w:val="24"/>
        </w:rPr>
        <w:t>(National Bureau of Statistics (NBS) [Tanzania] and Macro International Inc., 2007)</w:t>
      </w:r>
      <w:r w:rsidR="00C161D1" w:rsidRPr="0010128E">
        <w:rPr>
          <w:rFonts w:ascii="Times New Roman" w:hAnsi="Times New Roman"/>
          <w:sz w:val="24"/>
        </w:rPr>
        <w:t xml:space="preserve"> is supplied to examine the distribution of health facilities (i.e. public, private, and FBO) and the PHC-related services they provide. These minimum health services have been agreed upon since the mid-1990s as essential within the international health community and typically include maternity care, family planning, childhood immunizations, treatment of common childhood illnesses, and the prevention and treatment of malaria, tuberculosis, HIV/AIDS </w:t>
      </w:r>
      <w:r w:rsidR="00AE4ABF" w:rsidRPr="0010128E">
        <w:rPr>
          <w:rFonts w:ascii="Times New Roman" w:hAnsi="Times New Roman"/>
          <w:noProof/>
          <w:sz w:val="24"/>
        </w:rPr>
        <w:t>(Disease Control Priorities Project, 2007)</w:t>
      </w:r>
      <w:r w:rsidR="00C161D1" w:rsidRPr="0010128E">
        <w:rPr>
          <w:rFonts w:ascii="Times New Roman" w:hAnsi="Times New Roman"/>
          <w:sz w:val="24"/>
        </w:rPr>
        <w:t>.</w:t>
      </w:r>
    </w:p>
    <w:p w14:paraId="6D9F13EA" w14:textId="77777777" w:rsidR="00A7406A" w:rsidRPr="0010128E" w:rsidRDefault="00A7406A">
      <w:pPr>
        <w:rPr>
          <w:rFonts w:ascii="Times New Roman" w:eastAsia="MS Gothic" w:hAnsi="Times New Roman"/>
          <w:b/>
          <w:bCs/>
          <w:sz w:val="28"/>
        </w:rPr>
      </w:pPr>
      <w:r w:rsidRPr="0010128E">
        <w:rPr>
          <w:rFonts w:ascii="Times New Roman" w:hAnsi="Times New Roman"/>
        </w:rPr>
        <w:br w:type="page"/>
      </w:r>
    </w:p>
    <w:p w14:paraId="509D563F" w14:textId="5210E7F2" w:rsidR="006A6C52" w:rsidRPr="0010128E" w:rsidRDefault="004A0004" w:rsidP="004A43D3">
      <w:pPr>
        <w:pStyle w:val="Heading1"/>
        <w:rPr>
          <w:rFonts w:ascii="Times New Roman" w:hAnsi="Times New Roman"/>
        </w:rPr>
      </w:pPr>
      <w:bookmarkStart w:id="10" w:name="_Toc206320777"/>
      <w:r w:rsidRPr="0010128E">
        <w:rPr>
          <w:rFonts w:ascii="Times New Roman" w:hAnsi="Times New Roman"/>
        </w:rPr>
        <w:t>Findings</w:t>
      </w:r>
      <w:bookmarkEnd w:id="10"/>
      <w:r w:rsidRPr="0010128E">
        <w:rPr>
          <w:rFonts w:ascii="Times New Roman" w:hAnsi="Times New Roman"/>
        </w:rPr>
        <w:t xml:space="preserve"> </w:t>
      </w:r>
    </w:p>
    <w:p w14:paraId="3F02925B" w14:textId="70B18D7E" w:rsidR="004A0004" w:rsidRPr="0010128E" w:rsidRDefault="004A43D3" w:rsidP="00744110">
      <w:pPr>
        <w:spacing w:line="480" w:lineRule="auto"/>
        <w:ind w:firstLine="720"/>
        <w:rPr>
          <w:rFonts w:ascii="Times New Roman" w:hAnsi="Times New Roman"/>
          <w:sz w:val="24"/>
        </w:rPr>
      </w:pPr>
      <w:r w:rsidRPr="0010128E">
        <w:rPr>
          <w:rFonts w:ascii="Times New Roman" w:hAnsi="Times New Roman"/>
          <w:sz w:val="24"/>
        </w:rPr>
        <w:t xml:space="preserve">The </w:t>
      </w:r>
      <w:r w:rsidR="00BA1E0F" w:rsidRPr="0010128E">
        <w:rPr>
          <w:rFonts w:ascii="Times New Roman" w:hAnsi="Times New Roman"/>
          <w:sz w:val="24"/>
        </w:rPr>
        <w:t xml:space="preserve">presentation of findings </w:t>
      </w:r>
      <w:r w:rsidR="004A0004" w:rsidRPr="0010128E">
        <w:rPr>
          <w:rFonts w:ascii="Times New Roman" w:hAnsi="Times New Roman"/>
          <w:sz w:val="24"/>
        </w:rPr>
        <w:t>incorporates all three method</w:t>
      </w:r>
      <w:r w:rsidRPr="0010128E">
        <w:rPr>
          <w:rFonts w:ascii="Times New Roman" w:hAnsi="Times New Roman"/>
          <w:sz w:val="24"/>
        </w:rPr>
        <w:t>s discussed in the previous section.</w:t>
      </w:r>
      <w:r w:rsidR="00744110" w:rsidRPr="0010128E">
        <w:rPr>
          <w:rFonts w:ascii="Times New Roman" w:hAnsi="Times New Roman"/>
          <w:sz w:val="24"/>
        </w:rPr>
        <w:t xml:space="preserve"> A description of the main players involved in provision of PHC services is below.</w:t>
      </w:r>
    </w:p>
    <w:p w14:paraId="2CDFEFEE" w14:textId="77777777" w:rsidR="008642DA" w:rsidRPr="0010128E" w:rsidRDefault="008642DA" w:rsidP="00DB0993">
      <w:pPr>
        <w:pStyle w:val="Heading2"/>
        <w:spacing w:line="480" w:lineRule="auto"/>
      </w:pPr>
      <w:bookmarkStart w:id="11" w:name="_Toc206320778"/>
      <w:r w:rsidRPr="0010128E">
        <w:t>Main Players</w:t>
      </w:r>
      <w:bookmarkEnd w:id="11"/>
    </w:p>
    <w:p w14:paraId="26044458" w14:textId="53B0292B" w:rsidR="008642DA" w:rsidRPr="0010128E" w:rsidRDefault="008642DA" w:rsidP="00DB0993">
      <w:pPr>
        <w:spacing w:line="480" w:lineRule="auto"/>
        <w:ind w:firstLine="720"/>
        <w:rPr>
          <w:rFonts w:ascii="Times New Roman" w:hAnsi="Times New Roman"/>
          <w:sz w:val="24"/>
        </w:rPr>
      </w:pPr>
      <w:r w:rsidRPr="0010128E">
        <w:rPr>
          <w:rFonts w:ascii="Times New Roman" w:hAnsi="Times New Roman"/>
          <w:sz w:val="24"/>
        </w:rPr>
        <w:t>Since the government is not the sole provider of PHC services, this essay distinguishes between three main providers: government, including parastatal organizations</w:t>
      </w:r>
      <w:r w:rsidR="006D0406" w:rsidRPr="0010128E">
        <w:rPr>
          <w:rFonts w:ascii="Times New Roman" w:hAnsi="Times New Roman"/>
          <w:sz w:val="24"/>
        </w:rPr>
        <w:t xml:space="preserve"> (i.e. organizations partially owned by the government)</w:t>
      </w:r>
      <w:r w:rsidRPr="0010128E">
        <w:rPr>
          <w:rFonts w:ascii="Times New Roman" w:hAnsi="Times New Roman"/>
          <w:sz w:val="24"/>
        </w:rPr>
        <w:t>; private-not-for-profit providers, primarily made up of faith-based organizations (FBOs); and private-for-profit practitioners and facilities</w:t>
      </w:r>
      <w:r w:rsidR="00AE4ABF" w:rsidRPr="0010128E">
        <w:rPr>
          <w:rFonts w:ascii="Times New Roman" w:hAnsi="Times New Roman"/>
          <w:noProof/>
          <w:sz w:val="24"/>
        </w:rPr>
        <w:t xml:space="preserve"> (Adjei, et al., 2009)</w:t>
      </w:r>
      <w:r w:rsidRPr="0010128E">
        <w:rPr>
          <w:rFonts w:ascii="Times New Roman" w:hAnsi="Times New Roman"/>
          <w:sz w:val="24"/>
        </w:rPr>
        <w:t xml:space="preserve">. </w:t>
      </w:r>
    </w:p>
    <w:p w14:paraId="0CBEB75E" w14:textId="77777777" w:rsidR="008642DA" w:rsidRPr="0010128E" w:rsidRDefault="008642DA" w:rsidP="008642DA">
      <w:pPr>
        <w:pStyle w:val="Heading3"/>
        <w:spacing w:line="480" w:lineRule="auto"/>
        <w:rPr>
          <w:rFonts w:ascii="Times New Roman" w:hAnsi="Times New Roman"/>
        </w:rPr>
      </w:pPr>
      <w:bookmarkStart w:id="12" w:name="_Toc206320779"/>
      <w:r w:rsidRPr="0010128E">
        <w:rPr>
          <w:rFonts w:ascii="Times New Roman" w:hAnsi="Times New Roman"/>
        </w:rPr>
        <w:t>Government</w:t>
      </w:r>
      <w:bookmarkEnd w:id="12"/>
    </w:p>
    <w:p w14:paraId="0B8D4AFF" w14:textId="77777777" w:rsidR="008642DA" w:rsidRPr="0010128E" w:rsidRDefault="008642DA" w:rsidP="00D472C0">
      <w:pPr>
        <w:spacing w:line="480" w:lineRule="auto"/>
        <w:ind w:firstLine="720"/>
        <w:rPr>
          <w:rFonts w:ascii="Times New Roman" w:hAnsi="Times New Roman"/>
          <w:sz w:val="24"/>
        </w:rPr>
      </w:pPr>
      <w:r w:rsidRPr="0010128E">
        <w:rPr>
          <w:rFonts w:ascii="Times New Roman" w:eastAsia="Times New Roman" w:hAnsi="Times New Roman"/>
          <w:sz w:val="24"/>
        </w:rPr>
        <w:t xml:space="preserve">The government has historically been the main provider of health services, even prior to Tanzania’s independence. Within the public system, Tanzania’s decentralization consists of district, regional, and national levels. However, the district assumes the majority of responsibilities and curative services are provided primarily through district hospitals (and FBOs in some areas). At the sub-district level, community health centers and dispensaries provide both curative and preventive services, with parastatal organizations being under the control </w:t>
      </w:r>
      <w:r w:rsidR="005F4B1F" w:rsidRPr="0010128E">
        <w:rPr>
          <w:rFonts w:ascii="Times New Roman" w:eastAsia="Times New Roman" w:hAnsi="Times New Roman"/>
          <w:sz w:val="24"/>
        </w:rPr>
        <w:t xml:space="preserve">of </w:t>
      </w:r>
      <w:r w:rsidRPr="0010128E">
        <w:rPr>
          <w:rFonts w:ascii="Times New Roman" w:eastAsia="Times New Roman" w:hAnsi="Times New Roman"/>
          <w:sz w:val="24"/>
        </w:rPr>
        <w:t xml:space="preserve">government </w:t>
      </w:r>
      <w:r w:rsidR="00AE4ABF" w:rsidRPr="0010128E">
        <w:rPr>
          <w:rFonts w:ascii="Times New Roman" w:hAnsi="Times New Roman"/>
          <w:noProof/>
          <w:sz w:val="24"/>
        </w:rPr>
        <w:t>(National Bureau of Statistics (NBS) [Tanzania] and Macro International Inc., 2007)</w:t>
      </w:r>
      <w:r w:rsidRPr="0010128E">
        <w:rPr>
          <w:rFonts w:ascii="Times New Roman" w:hAnsi="Times New Roman"/>
          <w:sz w:val="24"/>
        </w:rPr>
        <w:t>.</w:t>
      </w:r>
    </w:p>
    <w:p w14:paraId="4682D4CE" w14:textId="77777777" w:rsidR="008642DA" w:rsidRPr="0010128E" w:rsidRDefault="008642DA" w:rsidP="008642DA">
      <w:pPr>
        <w:pStyle w:val="Heading3"/>
        <w:spacing w:line="480" w:lineRule="auto"/>
        <w:rPr>
          <w:rFonts w:ascii="Times New Roman" w:hAnsi="Times New Roman"/>
        </w:rPr>
      </w:pPr>
      <w:bookmarkStart w:id="13" w:name="_Toc206320780"/>
      <w:r w:rsidRPr="0010128E">
        <w:rPr>
          <w:rFonts w:ascii="Times New Roman" w:hAnsi="Times New Roman"/>
        </w:rPr>
        <w:t>Faith-Based Organizations</w:t>
      </w:r>
      <w:bookmarkEnd w:id="13"/>
    </w:p>
    <w:p w14:paraId="242AB735" w14:textId="47792BF8" w:rsidR="008642DA" w:rsidRPr="0010128E" w:rsidRDefault="008642DA" w:rsidP="008642DA">
      <w:pPr>
        <w:spacing w:line="480" w:lineRule="auto"/>
        <w:rPr>
          <w:rFonts w:ascii="Times New Roman" w:hAnsi="Times New Roman"/>
          <w:sz w:val="24"/>
        </w:rPr>
      </w:pPr>
      <w:r w:rsidRPr="0010128E">
        <w:rPr>
          <w:rFonts w:ascii="Times New Roman" w:hAnsi="Times New Roman"/>
          <w:sz w:val="24"/>
        </w:rPr>
        <w:tab/>
        <w:t xml:space="preserve">FBOs have long been involved in the provision of health services in sub-Saharan Africa </w:t>
      </w:r>
      <w:r w:rsidR="00AE4ABF" w:rsidRPr="0010128E">
        <w:rPr>
          <w:rFonts w:ascii="Times New Roman" w:hAnsi="Times New Roman"/>
          <w:noProof/>
          <w:sz w:val="24"/>
        </w:rPr>
        <w:t>(Dambisya &amp; Ichoku, 2012)</w:t>
      </w:r>
      <w:r w:rsidRPr="0010128E">
        <w:rPr>
          <w:rFonts w:ascii="Times New Roman" w:hAnsi="Times New Roman"/>
          <w:sz w:val="24"/>
        </w:rPr>
        <w:t xml:space="preserve">. Their work can be traced back to European Christian missionaries who established hospitals and schools as part of their missionary work. Lipsky (2011) notes that unlike </w:t>
      </w:r>
      <w:r w:rsidR="00662A08">
        <w:rPr>
          <w:rFonts w:ascii="Times New Roman" w:hAnsi="Times New Roman"/>
          <w:sz w:val="24"/>
        </w:rPr>
        <w:t>other nongovernmental organizations (NGOs)</w:t>
      </w:r>
      <w:r w:rsidRPr="0010128E">
        <w:rPr>
          <w:rFonts w:ascii="Times New Roman" w:hAnsi="Times New Roman"/>
          <w:sz w:val="24"/>
        </w:rPr>
        <w:t xml:space="preserve">, FBOs follow the direction of </w:t>
      </w:r>
      <w:r w:rsidR="009149BC" w:rsidRPr="0010128E">
        <w:rPr>
          <w:rFonts w:ascii="Times New Roman" w:hAnsi="Times New Roman"/>
          <w:sz w:val="24"/>
        </w:rPr>
        <w:t>the organization, but also place a heavy emphasis on religion and following God.</w:t>
      </w:r>
      <w:r w:rsidRPr="0010128E">
        <w:rPr>
          <w:rFonts w:ascii="Times New Roman" w:hAnsi="Times New Roman"/>
          <w:sz w:val="24"/>
        </w:rPr>
        <w:t xml:space="preserve"> The role of FBOs has historically been important in providing health services to the underserved. At the time of independence, approximately half of health services in Tanzania were provided by FBOs </w:t>
      </w:r>
      <w:r w:rsidR="00AE4ABF" w:rsidRPr="0010128E">
        <w:rPr>
          <w:rFonts w:ascii="Times New Roman" w:hAnsi="Times New Roman"/>
          <w:noProof/>
          <w:sz w:val="24"/>
        </w:rPr>
        <w:t>(Dambisya &amp; Ichoku, 2012)</w:t>
      </w:r>
      <w:r w:rsidRPr="0010128E">
        <w:rPr>
          <w:rFonts w:ascii="Times New Roman" w:hAnsi="Times New Roman"/>
          <w:sz w:val="24"/>
        </w:rPr>
        <w:t xml:space="preserve">. This has dropped only slightly in the twenty-first century, with about 41% of hospitals and 21% of health centers owned by FBOs. </w:t>
      </w:r>
    </w:p>
    <w:p w14:paraId="15C333F7" w14:textId="77777777" w:rsidR="008642DA" w:rsidRPr="0010128E" w:rsidRDefault="008642DA" w:rsidP="008642DA">
      <w:pPr>
        <w:spacing w:line="480" w:lineRule="auto"/>
        <w:ind w:firstLine="720"/>
        <w:rPr>
          <w:rFonts w:ascii="Times New Roman" w:hAnsi="Times New Roman"/>
          <w:sz w:val="24"/>
        </w:rPr>
      </w:pPr>
      <w:r w:rsidRPr="0010128E">
        <w:rPr>
          <w:rFonts w:ascii="Times New Roman" w:hAnsi="Times New Roman"/>
          <w:sz w:val="24"/>
        </w:rPr>
        <w:t xml:space="preserve">Green, Shaw, Dimmock and Conn (2002) explain that the importance of FBOs in health service delivery is three-fold: First, they are a distinct actor in a more complex grouping of health care providers (i.e. private for-profit, local authorizes, and secular NGOs); secondly, most are now managed by a national church structure rather than an international missionary organization; and finally, funding for FBOs is now more secular based, including international donors and national governments. </w:t>
      </w:r>
    </w:p>
    <w:p w14:paraId="7CAD37AF" w14:textId="77777777" w:rsidR="008642DA" w:rsidRPr="0010128E" w:rsidRDefault="008642DA" w:rsidP="008642DA">
      <w:pPr>
        <w:pStyle w:val="Heading3"/>
        <w:spacing w:line="480" w:lineRule="auto"/>
        <w:rPr>
          <w:rFonts w:ascii="Times New Roman" w:hAnsi="Times New Roman"/>
        </w:rPr>
      </w:pPr>
      <w:bookmarkStart w:id="14" w:name="_Toc206320781"/>
      <w:r w:rsidRPr="0010128E">
        <w:rPr>
          <w:rFonts w:ascii="Times New Roman" w:hAnsi="Times New Roman"/>
        </w:rPr>
        <w:t>Private Sector</w:t>
      </w:r>
      <w:bookmarkEnd w:id="14"/>
    </w:p>
    <w:p w14:paraId="1C3E342E" w14:textId="77777777" w:rsidR="008642DA" w:rsidRPr="0010128E" w:rsidRDefault="008642DA" w:rsidP="008642DA">
      <w:pPr>
        <w:spacing w:line="480" w:lineRule="auto"/>
        <w:rPr>
          <w:rFonts w:ascii="Times New Roman" w:hAnsi="Times New Roman"/>
          <w:sz w:val="24"/>
        </w:rPr>
      </w:pPr>
      <w:r w:rsidRPr="0010128E">
        <w:rPr>
          <w:rFonts w:ascii="Times New Roman" w:hAnsi="Times New Roman"/>
          <w:sz w:val="24"/>
        </w:rPr>
        <w:tab/>
        <w:t>Private-for-profit practitioners have been in existence in Tanzania since the colonial period. They mainly provide curative and preventive health services</w:t>
      </w:r>
      <w:r w:rsidR="00AE4ABF" w:rsidRPr="0010128E">
        <w:rPr>
          <w:rFonts w:ascii="Times New Roman" w:hAnsi="Times New Roman"/>
          <w:noProof/>
          <w:sz w:val="24"/>
        </w:rPr>
        <w:t xml:space="preserve"> (National Bureau of Statistics (NBS) [Tanzania] and Macro International Inc., 2007)</w:t>
      </w:r>
      <w:r w:rsidRPr="0010128E">
        <w:rPr>
          <w:rFonts w:ascii="Times New Roman" w:hAnsi="Times New Roman"/>
          <w:sz w:val="24"/>
        </w:rPr>
        <w:t xml:space="preserve">. Following independence, private-for-profit providers continued to provide services, but the idea of making a profit using human health came into question after the Arusha Declaration </w:t>
      </w:r>
      <w:r w:rsidR="00AE4ABF" w:rsidRPr="0010128E">
        <w:rPr>
          <w:rFonts w:ascii="Times New Roman" w:hAnsi="Times New Roman"/>
          <w:noProof/>
          <w:sz w:val="24"/>
        </w:rPr>
        <w:t>(The United Republic of Tanzania, 2011)</w:t>
      </w:r>
      <w:r w:rsidRPr="0010128E">
        <w:rPr>
          <w:rFonts w:ascii="Times New Roman" w:hAnsi="Times New Roman"/>
          <w:sz w:val="24"/>
        </w:rPr>
        <w:t xml:space="preserve">. In Tanzania’s </w:t>
      </w:r>
      <w:r w:rsidR="006D0406" w:rsidRPr="0010128E">
        <w:rPr>
          <w:rFonts w:ascii="Times New Roman" w:hAnsi="Times New Roman"/>
          <w:sz w:val="24"/>
        </w:rPr>
        <w:t>move</w:t>
      </w:r>
      <w:r w:rsidRPr="0010128E">
        <w:rPr>
          <w:rFonts w:ascii="Times New Roman" w:hAnsi="Times New Roman"/>
          <w:sz w:val="24"/>
        </w:rPr>
        <w:t xml:space="preserve"> towards socialism in the 1970s, the government decided that health services could be provided equitably </w:t>
      </w:r>
      <w:r w:rsidR="006D0406" w:rsidRPr="0010128E">
        <w:rPr>
          <w:rFonts w:ascii="Times New Roman" w:hAnsi="Times New Roman"/>
          <w:sz w:val="24"/>
        </w:rPr>
        <w:t>without for-profit institutions</w:t>
      </w:r>
      <w:r w:rsidRPr="0010128E">
        <w:rPr>
          <w:rFonts w:ascii="Times New Roman" w:hAnsi="Times New Roman"/>
          <w:sz w:val="24"/>
        </w:rPr>
        <w:t xml:space="preserve">, and effectively banned for-profit providers in 1977 under the Private Hospitals Regulation Act. </w:t>
      </w:r>
    </w:p>
    <w:p w14:paraId="19648914" w14:textId="77777777" w:rsidR="008642DA" w:rsidRPr="0010128E" w:rsidRDefault="006D0406" w:rsidP="008642DA">
      <w:pPr>
        <w:spacing w:line="480" w:lineRule="auto"/>
        <w:rPr>
          <w:rFonts w:ascii="Times New Roman" w:hAnsi="Times New Roman"/>
          <w:sz w:val="24"/>
        </w:rPr>
      </w:pPr>
      <w:r w:rsidRPr="0010128E">
        <w:rPr>
          <w:rFonts w:ascii="Times New Roman" w:hAnsi="Times New Roman"/>
          <w:sz w:val="24"/>
        </w:rPr>
        <w:tab/>
        <w:t>In the early 1980s, Tanzania suffered from</w:t>
      </w:r>
      <w:r w:rsidR="008642DA" w:rsidRPr="0010128E">
        <w:rPr>
          <w:rFonts w:ascii="Times New Roman" w:hAnsi="Times New Roman"/>
          <w:sz w:val="24"/>
        </w:rPr>
        <w:t xml:space="preserve"> drought, wa</w:t>
      </w:r>
      <w:r w:rsidRPr="0010128E">
        <w:rPr>
          <w:rFonts w:ascii="Times New Roman" w:hAnsi="Times New Roman"/>
          <w:sz w:val="24"/>
        </w:rPr>
        <w:t xml:space="preserve">r and poor economic performance. It was decided that the government could no longer provide quality health services to all under the economic erosion occurring at the time </w:t>
      </w:r>
      <w:r w:rsidR="00AE4ABF" w:rsidRPr="0010128E">
        <w:rPr>
          <w:rFonts w:ascii="Times New Roman" w:hAnsi="Times New Roman"/>
          <w:noProof/>
          <w:sz w:val="24"/>
        </w:rPr>
        <w:t>(The United Republic of Tanzania, 2011)</w:t>
      </w:r>
      <w:r w:rsidRPr="0010128E">
        <w:rPr>
          <w:rFonts w:ascii="Times New Roman" w:hAnsi="Times New Roman"/>
          <w:sz w:val="24"/>
        </w:rPr>
        <w:t xml:space="preserve">. To improve the situation </w:t>
      </w:r>
      <w:r w:rsidR="008642DA" w:rsidRPr="0010128E">
        <w:rPr>
          <w:rFonts w:ascii="Times New Roman" w:hAnsi="Times New Roman"/>
          <w:sz w:val="24"/>
        </w:rPr>
        <w:t xml:space="preserve">the law </w:t>
      </w:r>
      <w:r w:rsidRPr="0010128E">
        <w:rPr>
          <w:rFonts w:ascii="Times New Roman" w:hAnsi="Times New Roman"/>
          <w:sz w:val="24"/>
        </w:rPr>
        <w:t>prohibiting for-profit</w:t>
      </w:r>
      <w:r w:rsidR="008642DA" w:rsidRPr="0010128E">
        <w:rPr>
          <w:rFonts w:ascii="Times New Roman" w:hAnsi="Times New Roman"/>
          <w:sz w:val="24"/>
        </w:rPr>
        <w:t xml:space="preserve"> medical practice was repealed. </w:t>
      </w:r>
      <w:r w:rsidRPr="0010128E">
        <w:rPr>
          <w:rFonts w:ascii="Times New Roman" w:hAnsi="Times New Roman"/>
          <w:sz w:val="24"/>
        </w:rPr>
        <w:t>This</w:t>
      </w:r>
      <w:r w:rsidR="008642DA" w:rsidRPr="0010128E">
        <w:rPr>
          <w:rFonts w:ascii="Times New Roman" w:hAnsi="Times New Roman"/>
          <w:sz w:val="24"/>
        </w:rPr>
        <w:t xml:space="preserve"> paved the way for private practice in medicine and also end</w:t>
      </w:r>
      <w:r w:rsidRPr="0010128E">
        <w:rPr>
          <w:rFonts w:ascii="Times New Roman" w:hAnsi="Times New Roman"/>
          <w:sz w:val="24"/>
        </w:rPr>
        <w:t>ed</w:t>
      </w:r>
      <w:r w:rsidR="008642DA" w:rsidRPr="0010128E">
        <w:rPr>
          <w:rFonts w:ascii="Times New Roman" w:hAnsi="Times New Roman"/>
          <w:sz w:val="24"/>
        </w:rPr>
        <w:t xml:space="preserve"> free medical care. </w:t>
      </w:r>
    </w:p>
    <w:p w14:paraId="40EB78DE" w14:textId="77777777" w:rsidR="008642DA" w:rsidRPr="0010128E" w:rsidRDefault="008642DA" w:rsidP="008642DA">
      <w:pPr>
        <w:spacing w:line="480" w:lineRule="auto"/>
        <w:rPr>
          <w:rFonts w:ascii="Times New Roman" w:hAnsi="Times New Roman"/>
          <w:sz w:val="24"/>
        </w:rPr>
      </w:pPr>
      <w:r w:rsidRPr="0010128E">
        <w:rPr>
          <w:rFonts w:ascii="Times New Roman" w:hAnsi="Times New Roman"/>
          <w:sz w:val="24"/>
        </w:rPr>
        <w:tab/>
      </w:r>
      <w:r w:rsidR="006D0406" w:rsidRPr="0010128E">
        <w:rPr>
          <w:rFonts w:ascii="Times New Roman" w:hAnsi="Times New Roman"/>
          <w:sz w:val="24"/>
        </w:rPr>
        <w:t>P</w:t>
      </w:r>
      <w:r w:rsidRPr="0010128E">
        <w:rPr>
          <w:rFonts w:ascii="Times New Roman" w:hAnsi="Times New Roman"/>
          <w:sz w:val="24"/>
        </w:rPr>
        <w:t xml:space="preserve">rivate health service providers refer to for-profit providers including private hospital groups, medical practitioners, and pharmacies, and private insurance. Dambisya and Ichoku (2012) point out that the term private can include a number of unregulated, small-scale health service suppliers. This informal private sector typically consists of traditional healers and informal drug sellers </w:t>
      </w:r>
      <w:r w:rsidR="00AE4ABF" w:rsidRPr="0010128E">
        <w:rPr>
          <w:rFonts w:ascii="Times New Roman" w:hAnsi="Times New Roman"/>
          <w:noProof/>
          <w:sz w:val="24"/>
        </w:rPr>
        <w:t>(Foster, 2012)</w:t>
      </w:r>
      <w:r w:rsidRPr="0010128E">
        <w:rPr>
          <w:rFonts w:ascii="Times New Roman" w:hAnsi="Times New Roman"/>
          <w:sz w:val="24"/>
        </w:rPr>
        <w:t xml:space="preserve">, however due to research limitations these are not discussed. According to National Health Account Data, private health insurance constitutes a small portion of total health expenditure (THE) at 3.2% </w:t>
      </w:r>
      <w:r w:rsidR="00AE4ABF" w:rsidRPr="0010128E">
        <w:rPr>
          <w:rFonts w:ascii="Times New Roman" w:hAnsi="Times New Roman"/>
          <w:noProof/>
          <w:sz w:val="24"/>
        </w:rPr>
        <w:t>(Foster, 2012)</w:t>
      </w:r>
      <w:r w:rsidRPr="0010128E">
        <w:rPr>
          <w:rFonts w:ascii="Times New Roman" w:hAnsi="Times New Roman"/>
          <w:sz w:val="24"/>
        </w:rPr>
        <w:t xml:space="preserve">. </w:t>
      </w:r>
    </w:p>
    <w:p w14:paraId="28FF0B6A" w14:textId="668E1D39" w:rsidR="002B5212" w:rsidRPr="0010128E" w:rsidRDefault="008642DA" w:rsidP="00744110">
      <w:pPr>
        <w:spacing w:line="480" w:lineRule="auto"/>
        <w:ind w:firstLine="720"/>
        <w:rPr>
          <w:rFonts w:ascii="Times New Roman" w:hAnsi="Times New Roman"/>
          <w:sz w:val="24"/>
        </w:rPr>
      </w:pPr>
      <w:r w:rsidRPr="0010128E">
        <w:rPr>
          <w:rFonts w:ascii="Times New Roman" w:hAnsi="Times New Roman"/>
          <w:sz w:val="24"/>
        </w:rPr>
        <w:t xml:space="preserve">It is through this separation of providers that the three core elements of equity in PHC (cost, access, and services provision) are examined. For a breakdown of facilities by provider type, see Appendix 1. </w:t>
      </w:r>
    </w:p>
    <w:p w14:paraId="67EB2159" w14:textId="09118824" w:rsidR="00507860" w:rsidRPr="0010128E" w:rsidRDefault="00941F33" w:rsidP="00B93D19">
      <w:pPr>
        <w:pStyle w:val="Heading2"/>
        <w:spacing w:line="480" w:lineRule="auto"/>
      </w:pPr>
      <w:bookmarkStart w:id="15" w:name="_Toc206320782"/>
      <w:r w:rsidRPr="0010128E">
        <w:t xml:space="preserve">Findings: </w:t>
      </w:r>
      <w:r w:rsidR="00D00E56" w:rsidRPr="0010128E">
        <w:t xml:space="preserve">Tanzania’s </w:t>
      </w:r>
      <w:r w:rsidR="006853E7" w:rsidRPr="0010128E">
        <w:t>Health Care System</w:t>
      </w:r>
      <w:bookmarkEnd w:id="15"/>
      <w:r w:rsidR="006853E7" w:rsidRPr="0010128E">
        <w:t xml:space="preserve"> </w:t>
      </w:r>
    </w:p>
    <w:p w14:paraId="28095C1E" w14:textId="290C4218" w:rsidR="004B7721" w:rsidRPr="00D472C0" w:rsidRDefault="00D00E56" w:rsidP="00D472C0">
      <w:pPr>
        <w:pStyle w:val="Heading3"/>
        <w:spacing w:line="480" w:lineRule="auto"/>
        <w:rPr>
          <w:rFonts w:ascii="Times New Roman" w:hAnsi="Times New Roman"/>
        </w:rPr>
      </w:pPr>
      <w:bookmarkStart w:id="16" w:name="_Toc206320783"/>
      <w:r w:rsidRPr="0010128E">
        <w:rPr>
          <w:rFonts w:ascii="Times New Roman" w:hAnsi="Times New Roman"/>
        </w:rPr>
        <w:t>Decentralization</w:t>
      </w:r>
      <w:bookmarkEnd w:id="16"/>
    </w:p>
    <w:p w14:paraId="0A1FC3D8" w14:textId="77777777" w:rsidR="00D00E56" w:rsidRPr="0010128E" w:rsidRDefault="008E105C" w:rsidP="00862954">
      <w:pPr>
        <w:spacing w:line="480" w:lineRule="auto"/>
        <w:ind w:firstLine="720"/>
        <w:rPr>
          <w:rFonts w:ascii="Times New Roman" w:hAnsi="Times New Roman"/>
          <w:sz w:val="24"/>
        </w:rPr>
      </w:pPr>
      <w:r w:rsidRPr="0010128E">
        <w:rPr>
          <w:rFonts w:ascii="Times New Roman" w:hAnsi="Times New Roman"/>
          <w:sz w:val="24"/>
        </w:rPr>
        <w:t>Tanzania’s health care system has a history of decentralization dating back to the Decentralization Act of 1972. This setup</w:t>
      </w:r>
      <w:r w:rsidR="00D00E56" w:rsidRPr="0010128E">
        <w:rPr>
          <w:rFonts w:ascii="Times New Roman" w:hAnsi="Times New Roman"/>
          <w:sz w:val="24"/>
        </w:rPr>
        <w:t xml:space="preserve"> allows for non-governmental actors to be included as active partners in local level planning with the potential for greater involvement in policy and resource allocation (Green, Shaw, Dimmock, &amp; Conn</w:t>
      </w:r>
      <w:r w:rsidR="005224F2" w:rsidRPr="0010128E">
        <w:rPr>
          <w:rFonts w:ascii="Times New Roman" w:hAnsi="Times New Roman"/>
          <w:sz w:val="24"/>
        </w:rPr>
        <w:t>, 2002).  The benefit to users is greater access to</w:t>
      </w:r>
      <w:r w:rsidR="00D00E56" w:rsidRPr="0010128E">
        <w:rPr>
          <w:rFonts w:ascii="Times New Roman" w:hAnsi="Times New Roman"/>
          <w:sz w:val="24"/>
        </w:rPr>
        <w:t xml:space="preserve"> existing services as well as access to new services. </w:t>
      </w:r>
      <w:r w:rsidR="00C216DF" w:rsidRPr="0010128E">
        <w:rPr>
          <w:rFonts w:ascii="Times New Roman" w:hAnsi="Times New Roman"/>
          <w:sz w:val="24"/>
        </w:rPr>
        <w:t>Improving collaboration between governmental and non-governmental health services providers improves accountability and quality assurance at all facilities.</w:t>
      </w:r>
      <w:r w:rsidR="00D00E56" w:rsidRPr="0010128E">
        <w:rPr>
          <w:rFonts w:ascii="Times New Roman" w:hAnsi="Times New Roman"/>
          <w:sz w:val="24"/>
        </w:rPr>
        <w:t xml:space="preserve"> </w:t>
      </w:r>
    </w:p>
    <w:p w14:paraId="7FA8D9E1" w14:textId="0F24088E" w:rsidR="005432EB" w:rsidRPr="0010128E" w:rsidRDefault="0066455A" w:rsidP="006750B7">
      <w:pPr>
        <w:spacing w:line="480" w:lineRule="auto"/>
        <w:ind w:firstLine="720"/>
        <w:rPr>
          <w:rFonts w:ascii="Times New Roman" w:hAnsi="Times New Roman"/>
          <w:sz w:val="24"/>
        </w:rPr>
      </w:pPr>
      <w:r w:rsidRPr="0010128E">
        <w:rPr>
          <w:rFonts w:ascii="Times New Roman" w:hAnsi="Times New Roman"/>
          <w:sz w:val="24"/>
        </w:rPr>
        <w:t xml:space="preserve">The </w:t>
      </w:r>
      <w:r w:rsidR="00662A08">
        <w:rPr>
          <w:rFonts w:ascii="Times New Roman" w:hAnsi="Times New Roman"/>
          <w:sz w:val="24"/>
        </w:rPr>
        <w:t xml:space="preserve">MOHSW </w:t>
      </w:r>
      <w:r w:rsidRPr="0010128E">
        <w:rPr>
          <w:rFonts w:ascii="Times New Roman" w:hAnsi="Times New Roman"/>
          <w:sz w:val="24"/>
        </w:rPr>
        <w:t>and the Prime Minister’s Office Regional Administration lea</w:t>
      </w:r>
      <w:r w:rsidR="005E30CB" w:rsidRPr="0010128E">
        <w:rPr>
          <w:rFonts w:ascii="Times New Roman" w:hAnsi="Times New Roman"/>
          <w:sz w:val="24"/>
        </w:rPr>
        <w:t>ve</w:t>
      </w:r>
      <w:r w:rsidRPr="0010128E">
        <w:rPr>
          <w:rFonts w:ascii="Times New Roman" w:hAnsi="Times New Roman"/>
          <w:sz w:val="24"/>
        </w:rPr>
        <w:t xml:space="preserve"> the decentralization of health services to Local Government Authorities (LGAs)</w:t>
      </w:r>
      <w:r w:rsidR="00AE4ABF" w:rsidRPr="0010128E">
        <w:rPr>
          <w:rFonts w:ascii="Times New Roman" w:hAnsi="Times New Roman"/>
          <w:noProof/>
          <w:sz w:val="24"/>
        </w:rPr>
        <w:t xml:space="preserve"> (National Institute for Medical Research, 2008)</w:t>
      </w:r>
      <w:r w:rsidRPr="0010128E">
        <w:rPr>
          <w:rFonts w:ascii="Times New Roman" w:hAnsi="Times New Roman"/>
          <w:sz w:val="24"/>
        </w:rPr>
        <w:t>.</w:t>
      </w:r>
      <w:r w:rsidR="005432EB" w:rsidRPr="0010128E">
        <w:rPr>
          <w:rFonts w:ascii="Times New Roman" w:hAnsi="Times New Roman"/>
          <w:sz w:val="24"/>
        </w:rPr>
        <w:t xml:space="preserve"> </w:t>
      </w:r>
      <w:r w:rsidRPr="0010128E">
        <w:rPr>
          <w:rFonts w:ascii="Times New Roman" w:hAnsi="Times New Roman"/>
          <w:sz w:val="24"/>
        </w:rPr>
        <w:t>This devolution of services allows for diversification of roles in the delivery of health care. At the top is the</w:t>
      </w:r>
      <w:r w:rsidR="005432EB" w:rsidRPr="0010128E">
        <w:rPr>
          <w:rFonts w:ascii="Times New Roman" w:hAnsi="Times New Roman"/>
          <w:sz w:val="24"/>
        </w:rPr>
        <w:t xml:space="preserve"> </w:t>
      </w:r>
      <w:r w:rsidR="006376F9">
        <w:rPr>
          <w:rFonts w:ascii="Times New Roman" w:hAnsi="Times New Roman"/>
          <w:sz w:val="24"/>
        </w:rPr>
        <w:t>MOHSW</w:t>
      </w:r>
      <w:r w:rsidRPr="0010128E">
        <w:rPr>
          <w:rFonts w:ascii="Times New Roman" w:hAnsi="Times New Roman"/>
          <w:sz w:val="24"/>
        </w:rPr>
        <w:t xml:space="preserve">, with the </w:t>
      </w:r>
      <w:r w:rsidR="005432EB" w:rsidRPr="0010128E">
        <w:rPr>
          <w:rFonts w:ascii="Times New Roman" w:hAnsi="Times New Roman"/>
          <w:sz w:val="24"/>
        </w:rPr>
        <w:t>responsib</w:t>
      </w:r>
      <w:r w:rsidRPr="0010128E">
        <w:rPr>
          <w:rFonts w:ascii="Times New Roman" w:hAnsi="Times New Roman"/>
          <w:sz w:val="24"/>
        </w:rPr>
        <w:t>ility</w:t>
      </w:r>
      <w:r w:rsidR="005432EB" w:rsidRPr="0010128E">
        <w:rPr>
          <w:rFonts w:ascii="Times New Roman" w:hAnsi="Times New Roman"/>
          <w:sz w:val="24"/>
        </w:rPr>
        <w:t xml:space="preserve"> </w:t>
      </w:r>
      <w:r w:rsidRPr="0010128E">
        <w:rPr>
          <w:rFonts w:ascii="Times New Roman" w:hAnsi="Times New Roman"/>
          <w:sz w:val="24"/>
        </w:rPr>
        <w:t>of</w:t>
      </w:r>
      <w:r w:rsidR="005432EB" w:rsidRPr="0010128E">
        <w:rPr>
          <w:rFonts w:ascii="Times New Roman" w:hAnsi="Times New Roman"/>
          <w:sz w:val="24"/>
        </w:rPr>
        <w:t xml:space="preserve"> policy formulation and the development of guidelines. </w:t>
      </w:r>
      <w:r w:rsidRPr="0010128E">
        <w:rPr>
          <w:rFonts w:ascii="Times New Roman" w:hAnsi="Times New Roman"/>
          <w:sz w:val="24"/>
        </w:rPr>
        <w:t xml:space="preserve">The </w:t>
      </w:r>
      <w:r w:rsidR="005432EB" w:rsidRPr="0010128E">
        <w:rPr>
          <w:rFonts w:ascii="Times New Roman" w:hAnsi="Times New Roman"/>
          <w:sz w:val="24"/>
        </w:rPr>
        <w:t>regional level</w:t>
      </w:r>
      <w:r w:rsidRPr="0010128E">
        <w:rPr>
          <w:rFonts w:ascii="Times New Roman" w:hAnsi="Times New Roman"/>
          <w:sz w:val="24"/>
        </w:rPr>
        <w:t xml:space="preserve"> falls next in line where </w:t>
      </w:r>
      <w:r w:rsidR="005432EB" w:rsidRPr="0010128E">
        <w:rPr>
          <w:rFonts w:ascii="Times New Roman" w:hAnsi="Times New Roman"/>
          <w:sz w:val="24"/>
        </w:rPr>
        <w:t>Regional Health Management Teams (RHMTs) interpret these policies and supervise thei</w:t>
      </w:r>
      <w:r w:rsidRPr="0010128E">
        <w:rPr>
          <w:rFonts w:ascii="Times New Roman" w:hAnsi="Times New Roman"/>
          <w:sz w:val="24"/>
        </w:rPr>
        <w:t xml:space="preserve">r implementation at the district level. </w:t>
      </w:r>
      <w:r w:rsidR="00067691">
        <w:rPr>
          <w:rFonts w:ascii="Times New Roman" w:hAnsi="Times New Roman"/>
          <w:sz w:val="24"/>
        </w:rPr>
        <w:t>DHMTs</w:t>
      </w:r>
      <w:r w:rsidRPr="0010128E">
        <w:rPr>
          <w:rFonts w:ascii="Times New Roman" w:hAnsi="Times New Roman"/>
          <w:sz w:val="24"/>
        </w:rPr>
        <w:t xml:space="preserve"> oversee council</w:t>
      </w:r>
      <w:r w:rsidR="00927391" w:rsidRPr="0010128E">
        <w:rPr>
          <w:rFonts w:ascii="Times New Roman" w:hAnsi="Times New Roman"/>
          <w:sz w:val="24"/>
        </w:rPr>
        <w:t xml:space="preserve"> health services</w:t>
      </w:r>
      <w:r w:rsidRPr="0010128E">
        <w:rPr>
          <w:rFonts w:ascii="Times New Roman" w:hAnsi="Times New Roman"/>
          <w:sz w:val="24"/>
        </w:rPr>
        <w:t xml:space="preserve"> including health centers, dispensaries and district hospitals. </w:t>
      </w:r>
      <w:r w:rsidR="00927391" w:rsidRPr="0010128E">
        <w:rPr>
          <w:rFonts w:ascii="Times New Roman" w:hAnsi="Times New Roman"/>
          <w:sz w:val="24"/>
        </w:rPr>
        <w:t xml:space="preserve">At the lowest level is Council Health Management Teams (CHMTs). </w:t>
      </w:r>
      <w:r w:rsidR="006750B7" w:rsidRPr="0010128E">
        <w:rPr>
          <w:rFonts w:ascii="Times New Roman" w:hAnsi="Times New Roman"/>
          <w:sz w:val="24"/>
        </w:rPr>
        <w:t xml:space="preserve">This structure enables healthcare to be initiated at the local level, allowing districts certain flexibility to cater to local needs </w:t>
      </w:r>
      <w:r w:rsidR="00AE4ABF" w:rsidRPr="0010128E">
        <w:rPr>
          <w:rFonts w:ascii="Times New Roman" w:hAnsi="Times New Roman"/>
          <w:noProof/>
          <w:sz w:val="24"/>
        </w:rPr>
        <w:t>(National Institute for Medical Research, 2008)</w:t>
      </w:r>
      <w:r w:rsidR="006750B7" w:rsidRPr="0010128E">
        <w:rPr>
          <w:rFonts w:ascii="Times New Roman" w:hAnsi="Times New Roman"/>
          <w:sz w:val="24"/>
        </w:rPr>
        <w:t xml:space="preserve">. </w:t>
      </w:r>
    </w:p>
    <w:p w14:paraId="0BBB9795" w14:textId="22359473" w:rsidR="00B8188D" w:rsidRPr="0010128E" w:rsidRDefault="00451524" w:rsidP="00B8188D">
      <w:pPr>
        <w:spacing w:line="480" w:lineRule="auto"/>
        <w:ind w:firstLine="720"/>
        <w:rPr>
          <w:rFonts w:ascii="Times New Roman" w:hAnsi="Times New Roman"/>
          <w:sz w:val="24"/>
        </w:rPr>
      </w:pPr>
      <w:r w:rsidRPr="0010128E">
        <w:rPr>
          <w:rFonts w:ascii="Times New Roman" w:hAnsi="Times New Roman"/>
          <w:sz w:val="24"/>
        </w:rPr>
        <w:t xml:space="preserve">Advances in health policy in Tanzania means that more public resources are delegated to districts as part of the government’s commitment to decentralization. Block grants and basket funds are the methods in which resources are allocated from the central government to district and local levels. Consequently, the local level has benefited from the decentralization of services and push for PHC by receiving an increase in donor funding funneled through health baskets. </w:t>
      </w:r>
      <w:r w:rsidR="00B8188D" w:rsidRPr="0010128E">
        <w:rPr>
          <w:rFonts w:ascii="Times New Roman" w:hAnsi="Times New Roman"/>
          <w:sz w:val="24"/>
        </w:rPr>
        <w:t xml:space="preserve">Eight international donors, mostly based in Western Europe and including the World Bank, comprise the Health Sector Basket Fund to join funds and </w:t>
      </w:r>
      <w:r w:rsidR="009C5EF9">
        <w:rPr>
          <w:rFonts w:ascii="Times New Roman" w:hAnsi="Times New Roman"/>
          <w:sz w:val="24"/>
        </w:rPr>
        <w:t>allocate</w:t>
      </w:r>
      <w:r w:rsidR="00B8188D" w:rsidRPr="0010128E">
        <w:rPr>
          <w:rFonts w:ascii="Times New Roman" w:hAnsi="Times New Roman"/>
          <w:sz w:val="24"/>
        </w:rPr>
        <w:t xml:space="preserve"> to lower levels (Maluka et al.</w:t>
      </w:r>
      <w:r w:rsidR="002F3D48" w:rsidRPr="0010128E">
        <w:rPr>
          <w:rFonts w:ascii="Times New Roman" w:hAnsi="Times New Roman"/>
          <w:sz w:val="24"/>
        </w:rPr>
        <w:t>, 2010</w:t>
      </w:r>
      <w:r w:rsidR="00B8188D" w:rsidRPr="0010128E">
        <w:rPr>
          <w:rFonts w:ascii="Times New Roman" w:hAnsi="Times New Roman"/>
          <w:sz w:val="24"/>
        </w:rPr>
        <w:t>).</w:t>
      </w:r>
    </w:p>
    <w:p w14:paraId="36B2F8EF" w14:textId="77777777" w:rsidR="00B83ABA" w:rsidRPr="0010128E" w:rsidRDefault="00451524" w:rsidP="00B8188D">
      <w:pPr>
        <w:spacing w:line="480" w:lineRule="auto"/>
        <w:ind w:firstLine="720"/>
        <w:rPr>
          <w:rFonts w:ascii="Times New Roman" w:hAnsi="Times New Roman"/>
          <w:sz w:val="24"/>
        </w:rPr>
      </w:pPr>
      <w:r w:rsidRPr="0010128E">
        <w:rPr>
          <w:rFonts w:ascii="Times New Roman" w:hAnsi="Times New Roman"/>
          <w:sz w:val="24"/>
        </w:rPr>
        <w:t xml:space="preserve">Block grants are the means by which the central government allots funding to districts and local councils. </w:t>
      </w:r>
      <w:r w:rsidR="00D00E56" w:rsidRPr="0010128E">
        <w:rPr>
          <w:rFonts w:ascii="Times New Roman" w:hAnsi="Times New Roman"/>
          <w:sz w:val="24"/>
        </w:rPr>
        <w:t>The allocation of block grants between facilities at the district level is coordinated with stakeholders, but a minimum and maximum is set to ensure that around 50 to 70% of the funding goes to district managing organization</w:t>
      </w:r>
      <w:r w:rsidR="00962195" w:rsidRPr="0010128E">
        <w:rPr>
          <w:rFonts w:ascii="Times New Roman" w:hAnsi="Times New Roman"/>
          <w:sz w:val="24"/>
        </w:rPr>
        <w:t>s</w:t>
      </w:r>
      <w:r w:rsidR="00D00E56" w:rsidRPr="0010128E">
        <w:rPr>
          <w:rFonts w:ascii="Times New Roman" w:hAnsi="Times New Roman"/>
          <w:sz w:val="24"/>
        </w:rPr>
        <w:t xml:space="preserve"> and the hospitals, while the rest is divided between health centers and dispensaries. </w:t>
      </w:r>
      <w:r w:rsidRPr="0010128E">
        <w:rPr>
          <w:rFonts w:ascii="Times New Roman" w:hAnsi="Times New Roman"/>
          <w:sz w:val="24"/>
        </w:rPr>
        <w:t>T</w:t>
      </w:r>
      <w:r w:rsidR="00B83ABA" w:rsidRPr="0010128E">
        <w:rPr>
          <w:rFonts w:ascii="Times New Roman" w:hAnsi="Times New Roman"/>
          <w:sz w:val="24"/>
        </w:rPr>
        <w:t>he allocation formula applied to the health block grant distributes the grant among local governments based on four allocation factors</w:t>
      </w:r>
      <w:r w:rsidRPr="0010128E">
        <w:rPr>
          <w:rFonts w:ascii="Times New Roman" w:hAnsi="Times New Roman"/>
          <w:sz w:val="24"/>
        </w:rPr>
        <w:t>: population size, poverty count, district vehicle route, and under-five mortality</w:t>
      </w:r>
      <w:r w:rsidR="00B83ABA" w:rsidRPr="0010128E">
        <w:rPr>
          <w:rFonts w:ascii="Times New Roman" w:hAnsi="Times New Roman"/>
          <w:sz w:val="24"/>
        </w:rPr>
        <w:t xml:space="preserve"> </w:t>
      </w:r>
      <w:r w:rsidR="00AE4ABF" w:rsidRPr="0010128E">
        <w:rPr>
          <w:rFonts w:ascii="Times New Roman" w:hAnsi="Times New Roman"/>
          <w:noProof/>
          <w:sz w:val="24"/>
        </w:rPr>
        <w:t>(Mbuyita &amp; Makemba, 2007)</w:t>
      </w:r>
      <w:r w:rsidRPr="0010128E">
        <w:rPr>
          <w:rFonts w:ascii="Times New Roman" w:hAnsi="Times New Roman"/>
          <w:sz w:val="24"/>
        </w:rPr>
        <w:t xml:space="preserve">. These factors are weighted, with the population size determining about 70% of the funding amount (Maluka et al., </w:t>
      </w:r>
      <w:r w:rsidR="002F3D48" w:rsidRPr="0010128E">
        <w:rPr>
          <w:rFonts w:ascii="Times New Roman" w:hAnsi="Times New Roman"/>
          <w:sz w:val="24"/>
        </w:rPr>
        <w:t>2010</w:t>
      </w:r>
      <w:r w:rsidRPr="0010128E">
        <w:rPr>
          <w:rFonts w:ascii="Times New Roman" w:hAnsi="Times New Roman"/>
          <w:sz w:val="24"/>
        </w:rPr>
        <w:t xml:space="preserve">). This ensures that resources are allocated to areas with the highest need to </w:t>
      </w:r>
      <w:r w:rsidR="00B83ABA" w:rsidRPr="0010128E">
        <w:rPr>
          <w:rFonts w:ascii="Times New Roman" w:hAnsi="Times New Roman"/>
          <w:sz w:val="24"/>
        </w:rPr>
        <w:t>support access and use of health services by poor communities</w:t>
      </w:r>
      <w:r w:rsidRPr="0010128E">
        <w:rPr>
          <w:rFonts w:ascii="Times New Roman" w:hAnsi="Times New Roman"/>
          <w:sz w:val="24"/>
        </w:rPr>
        <w:t xml:space="preserve">, keeping </w:t>
      </w:r>
      <w:r w:rsidR="00B83ABA" w:rsidRPr="0010128E">
        <w:rPr>
          <w:rFonts w:ascii="Times New Roman" w:hAnsi="Times New Roman"/>
          <w:sz w:val="24"/>
        </w:rPr>
        <w:t>in line with national policies</w:t>
      </w:r>
      <w:r w:rsidRPr="0010128E">
        <w:rPr>
          <w:rFonts w:ascii="Times New Roman" w:hAnsi="Times New Roman"/>
          <w:sz w:val="24"/>
        </w:rPr>
        <w:t xml:space="preserve"> (MOHSW, </w:t>
      </w:r>
      <w:r w:rsidR="002F3D48" w:rsidRPr="0010128E">
        <w:rPr>
          <w:rFonts w:ascii="Times New Roman" w:hAnsi="Times New Roman"/>
          <w:sz w:val="24"/>
        </w:rPr>
        <w:t>2009</w:t>
      </w:r>
      <w:r w:rsidRPr="0010128E">
        <w:rPr>
          <w:rFonts w:ascii="Times New Roman" w:hAnsi="Times New Roman"/>
          <w:sz w:val="24"/>
        </w:rPr>
        <w:t>)</w:t>
      </w:r>
      <w:r w:rsidR="00B83ABA" w:rsidRPr="0010128E">
        <w:rPr>
          <w:rFonts w:ascii="Times New Roman" w:hAnsi="Times New Roman"/>
          <w:sz w:val="24"/>
        </w:rPr>
        <w:t>.</w:t>
      </w:r>
    </w:p>
    <w:p w14:paraId="0B04BF72" w14:textId="77777777" w:rsidR="00D00E56" w:rsidRPr="0010128E" w:rsidRDefault="00451524" w:rsidP="00B83ABA">
      <w:pPr>
        <w:spacing w:line="480" w:lineRule="auto"/>
        <w:ind w:firstLine="720"/>
        <w:rPr>
          <w:rFonts w:ascii="Times New Roman" w:hAnsi="Times New Roman"/>
          <w:sz w:val="24"/>
        </w:rPr>
      </w:pPr>
      <w:r w:rsidRPr="0010128E">
        <w:rPr>
          <w:rFonts w:ascii="Times New Roman" w:hAnsi="Times New Roman"/>
          <w:sz w:val="24"/>
        </w:rPr>
        <w:t xml:space="preserve">The </w:t>
      </w:r>
      <w:r w:rsidR="00B8188D" w:rsidRPr="0010128E">
        <w:rPr>
          <w:rFonts w:ascii="Times New Roman" w:hAnsi="Times New Roman"/>
          <w:sz w:val="24"/>
        </w:rPr>
        <w:t>decentralized</w:t>
      </w:r>
      <w:r w:rsidRPr="0010128E">
        <w:rPr>
          <w:rFonts w:ascii="Times New Roman" w:hAnsi="Times New Roman"/>
          <w:sz w:val="24"/>
        </w:rPr>
        <w:t xml:space="preserve"> system also supports coordination of services between non-governmental actors</w:t>
      </w:r>
      <w:r w:rsidR="00B8188D" w:rsidRPr="0010128E">
        <w:rPr>
          <w:rFonts w:ascii="Times New Roman" w:hAnsi="Times New Roman"/>
          <w:sz w:val="24"/>
        </w:rPr>
        <w:t xml:space="preserve">. Local governments can select faith-based hospitals to act as the designated district hospital in areas where there is no government-run hospital. Within this method, FBO facilities can benefit from block grants. These hospitals receive about 35% of basket funds to take on this role (Maluka et al., </w:t>
      </w:r>
      <w:r w:rsidR="002F3D48" w:rsidRPr="0010128E">
        <w:rPr>
          <w:rFonts w:ascii="Times New Roman" w:hAnsi="Times New Roman"/>
          <w:sz w:val="24"/>
        </w:rPr>
        <w:t>2010</w:t>
      </w:r>
      <w:r w:rsidR="00B8188D" w:rsidRPr="0010128E">
        <w:rPr>
          <w:rFonts w:ascii="Times New Roman" w:hAnsi="Times New Roman"/>
          <w:sz w:val="24"/>
        </w:rPr>
        <w:t>). Consequently, FBOs have made it a priority to increase negotiations with local government to build partnerships and essentially receive a larger percentage of the funding.</w:t>
      </w:r>
      <w:r w:rsidRPr="0010128E">
        <w:rPr>
          <w:rFonts w:ascii="Times New Roman" w:hAnsi="Times New Roman"/>
          <w:sz w:val="24"/>
        </w:rPr>
        <w:t xml:space="preserve"> </w:t>
      </w:r>
      <w:r w:rsidR="00B8188D" w:rsidRPr="0010128E">
        <w:rPr>
          <w:rFonts w:ascii="Times New Roman" w:hAnsi="Times New Roman"/>
          <w:sz w:val="24"/>
        </w:rPr>
        <w:t xml:space="preserve">Other non-governmental </w:t>
      </w:r>
      <w:r w:rsidR="00B27C6C" w:rsidRPr="0010128E">
        <w:rPr>
          <w:rFonts w:ascii="Times New Roman" w:hAnsi="Times New Roman"/>
          <w:sz w:val="24"/>
        </w:rPr>
        <w:t xml:space="preserve">entities </w:t>
      </w:r>
      <w:r w:rsidR="00B8188D" w:rsidRPr="0010128E">
        <w:rPr>
          <w:rFonts w:ascii="Times New Roman" w:hAnsi="Times New Roman"/>
          <w:sz w:val="24"/>
        </w:rPr>
        <w:t>can receive international funds through health baskets.</w:t>
      </w:r>
      <w:r w:rsidR="00B83ABA" w:rsidRPr="0010128E">
        <w:rPr>
          <w:rFonts w:ascii="Times New Roman" w:hAnsi="Times New Roman"/>
          <w:sz w:val="24"/>
        </w:rPr>
        <w:t xml:space="preserve"> </w:t>
      </w:r>
    </w:p>
    <w:p w14:paraId="094B1D0E" w14:textId="29933B43" w:rsidR="00D00E56" w:rsidRPr="0010128E" w:rsidRDefault="00D00E56" w:rsidP="00B93D19">
      <w:pPr>
        <w:spacing w:line="480" w:lineRule="auto"/>
        <w:ind w:firstLine="720"/>
        <w:rPr>
          <w:rFonts w:ascii="Times New Roman" w:hAnsi="Times New Roman"/>
          <w:sz w:val="24"/>
        </w:rPr>
      </w:pPr>
      <w:r w:rsidRPr="0010128E">
        <w:rPr>
          <w:rFonts w:ascii="Times New Roman" w:hAnsi="Times New Roman"/>
          <w:sz w:val="24"/>
        </w:rPr>
        <w:t xml:space="preserve">Tanzania’s decentralized system is </w:t>
      </w:r>
      <w:r w:rsidR="00B8188D" w:rsidRPr="0010128E">
        <w:rPr>
          <w:rFonts w:ascii="Times New Roman" w:hAnsi="Times New Roman"/>
          <w:sz w:val="24"/>
        </w:rPr>
        <w:t xml:space="preserve">also </w:t>
      </w:r>
      <w:r w:rsidRPr="0010128E">
        <w:rPr>
          <w:rFonts w:ascii="Times New Roman" w:hAnsi="Times New Roman"/>
          <w:sz w:val="24"/>
        </w:rPr>
        <w:t xml:space="preserve">conducive to prioritization of health care services. Out of this, the Accountability for Reasonableness has developed as a guiding framework for priority setting, with fairness identified as one of the key goals. In practice, </w:t>
      </w:r>
      <w:r w:rsidR="005C2F6A" w:rsidRPr="0010128E">
        <w:rPr>
          <w:rFonts w:ascii="Times New Roman" w:hAnsi="Times New Roman"/>
          <w:sz w:val="24"/>
        </w:rPr>
        <w:t xml:space="preserve">Maluka et al. </w:t>
      </w:r>
      <w:r w:rsidR="002F3D48" w:rsidRPr="0010128E">
        <w:rPr>
          <w:rFonts w:ascii="Times New Roman" w:hAnsi="Times New Roman"/>
          <w:sz w:val="24"/>
        </w:rPr>
        <w:t xml:space="preserve">(2011) found </w:t>
      </w:r>
      <w:r w:rsidRPr="0010128E">
        <w:rPr>
          <w:rFonts w:ascii="Times New Roman" w:hAnsi="Times New Roman"/>
          <w:sz w:val="24"/>
        </w:rPr>
        <w:t xml:space="preserve">Tanzania’s decentralized health system for district level priority-setting to be </w:t>
      </w:r>
      <w:r w:rsidR="002F3D48" w:rsidRPr="0010128E">
        <w:rPr>
          <w:rFonts w:ascii="Times New Roman" w:hAnsi="Times New Roman"/>
          <w:sz w:val="24"/>
        </w:rPr>
        <w:t xml:space="preserve">not </w:t>
      </w:r>
      <w:r w:rsidRPr="0010128E">
        <w:rPr>
          <w:rFonts w:ascii="Times New Roman" w:hAnsi="Times New Roman"/>
          <w:sz w:val="24"/>
        </w:rPr>
        <w:t>as participatory as suggested by the government.</w:t>
      </w:r>
      <w:r w:rsidR="00993DD8" w:rsidRPr="0010128E">
        <w:rPr>
          <w:rFonts w:ascii="Times New Roman" w:hAnsi="Times New Roman"/>
          <w:sz w:val="24"/>
        </w:rPr>
        <w:t xml:space="preserve"> </w:t>
      </w:r>
      <w:r w:rsidR="00B83ABA" w:rsidRPr="0010128E">
        <w:rPr>
          <w:rFonts w:ascii="Times New Roman" w:hAnsi="Times New Roman"/>
          <w:sz w:val="24"/>
        </w:rPr>
        <w:t>Priority-setting usually occurred in the context of budget cycles and the process was driven by historical allocation</w:t>
      </w:r>
      <w:r w:rsidR="001F75B1" w:rsidRPr="0010128E">
        <w:rPr>
          <w:rFonts w:ascii="Times New Roman" w:hAnsi="Times New Roman"/>
          <w:sz w:val="24"/>
        </w:rPr>
        <w:t xml:space="preserve"> rather than negotiations between stakeholders</w:t>
      </w:r>
      <w:r w:rsidR="00B83ABA" w:rsidRPr="0010128E">
        <w:rPr>
          <w:rFonts w:ascii="Times New Roman" w:hAnsi="Times New Roman"/>
          <w:sz w:val="24"/>
        </w:rPr>
        <w:t xml:space="preserve">. </w:t>
      </w:r>
      <w:r w:rsidR="002F3D48" w:rsidRPr="0010128E">
        <w:rPr>
          <w:rFonts w:ascii="Times New Roman" w:hAnsi="Times New Roman"/>
          <w:sz w:val="24"/>
        </w:rPr>
        <w:t xml:space="preserve">One of the main reasons for minimal stakeholder involvement at the local level was due to the lack of formal mechanisms for communication. Maluka et al. (2011) found that priority-setting decisions </w:t>
      </w:r>
      <w:r w:rsidR="00B83ABA" w:rsidRPr="0010128E">
        <w:rPr>
          <w:rFonts w:ascii="Times New Roman" w:hAnsi="Times New Roman"/>
          <w:sz w:val="24"/>
        </w:rPr>
        <w:t xml:space="preserve">(but not the </w:t>
      </w:r>
      <w:r w:rsidR="002F3D48" w:rsidRPr="0010128E">
        <w:rPr>
          <w:rFonts w:ascii="Times New Roman" w:hAnsi="Times New Roman"/>
          <w:sz w:val="24"/>
        </w:rPr>
        <w:t>rational</w:t>
      </w:r>
      <w:r w:rsidR="00B83ABA" w:rsidRPr="0010128E">
        <w:rPr>
          <w:rFonts w:ascii="Times New Roman" w:hAnsi="Times New Roman"/>
          <w:sz w:val="24"/>
        </w:rPr>
        <w:t xml:space="preserve"> behind them) were </w:t>
      </w:r>
      <w:r w:rsidR="002F3D48" w:rsidRPr="0010128E">
        <w:rPr>
          <w:rFonts w:ascii="Times New Roman" w:hAnsi="Times New Roman"/>
          <w:sz w:val="24"/>
        </w:rPr>
        <w:t xml:space="preserve">simply </w:t>
      </w:r>
      <w:r w:rsidR="00B83ABA" w:rsidRPr="0010128E">
        <w:rPr>
          <w:rFonts w:ascii="Times New Roman" w:hAnsi="Times New Roman"/>
          <w:sz w:val="24"/>
        </w:rPr>
        <w:t>publicized through circulars and notice boards</w:t>
      </w:r>
      <w:r w:rsidR="002F3D48" w:rsidRPr="0010128E">
        <w:rPr>
          <w:rFonts w:ascii="Times New Roman" w:hAnsi="Times New Roman"/>
          <w:sz w:val="24"/>
        </w:rPr>
        <w:t>.</w:t>
      </w:r>
    </w:p>
    <w:p w14:paraId="21A66034" w14:textId="77777777" w:rsidR="004809A8" w:rsidRPr="0010128E" w:rsidRDefault="00ED0A3E" w:rsidP="001E1DD7">
      <w:pPr>
        <w:pStyle w:val="Heading3"/>
        <w:spacing w:line="480" w:lineRule="auto"/>
        <w:rPr>
          <w:rFonts w:ascii="Times New Roman" w:hAnsi="Times New Roman"/>
        </w:rPr>
      </w:pPr>
      <w:bookmarkStart w:id="17" w:name="_Toc206320784"/>
      <w:r w:rsidRPr="0010128E">
        <w:rPr>
          <w:rFonts w:ascii="Times New Roman" w:hAnsi="Times New Roman"/>
        </w:rPr>
        <w:t>User Fee</w:t>
      </w:r>
      <w:r w:rsidR="006853E7" w:rsidRPr="0010128E">
        <w:rPr>
          <w:rFonts w:ascii="Times New Roman" w:hAnsi="Times New Roman"/>
        </w:rPr>
        <w:t>s</w:t>
      </w:r>
      <w:bookmarkEnd w:id="17"/>
      <w:r w:rsidRPr="0010128E">
        <w:rPr>
          <w:rFonts w:ascii="Times New Roman" w:hAnsi="Times New Roman"/>
        </w:rPr>
        <w:t xml:space="preserve"> </w:t>
      </w:r>
    </w:p>
    <w:p w14:paraId="06C574A0" w14:textId="77777777" w:rsidR="00F7740D" w:rsidRPr="0010128E" w:rsidRDefault="00F7740D" w:rsidP="00F7740D">
      <w:pPr>
        <w:spacing w:line="480" w:lineRule="auto"/>
        <w:ind w:firstLine="720"/>
        <w:rPr>
          <w:rFonts w:ascii="Times New Roman" w:hAnsi="Times New Roman"/>
          <w:sz w:val="24"/>
        </w:rPr>
      </w:pPr>
      <w:r w:rsidRPr="0010128E">
        <w:rPr>
          <w:rFonts w:ascii="Times New Roman" w:hAnsi="Times New Roman"/>
          <w:sz w:val="24"/>
        </w:rPr>
        <w:t xml:space="preserve">Health care financing in Tanzania uses a combination of financing sources to support the health system </w:t>
      </w:r>
      <w:r w:rsidRPr="0010128E">
        <w:rPr>
          <w:rFonts w:ascii="Times New Roman" w:hAnsi="Times New Roman"/>
          <w:noProof/>
          <w:sz w:val="24"/>
        </w:rPr>
        <w:t>(Adjei, et al., 2009)</w:t>
      </w:r>
      <w:r w:rsidRPr="0010128E">
        <w:rPr>
          <w:rFonts w:ascii="Times New Roman" w:hAnsi="Times New Roman"/>
          <w:sz w:val="24"/>
        </w:rPr>
        <w:t xml:space="preserve">. About 70% of financing comes from public sources, of which taxation comprises the majority. Government funds are allocated towards public facilities through block grants, while the health basket funding is available for both public and private facilities. Health insurance plans and out-of-pocket payments, such as user fees, in the informal sector are very regressive </w:t>
      </w:r>
      <w:r w:rsidRPr="0010128E">
        <w:rPr>
          <w:rFonts w:ascii="Times New Roman" w:hAnsi="Times New Roman"/>
          <w:noProof/>
          <w:sz w:val="24"/>
        </w:rPr>
        <w:t>(Macha, et al., 2012)</w:t>
      </w:r>
      <w:r w:rsidRPr="0010128E">
        <w:rPr>
          <w:rFonts w:ascii="Times New Roman" w:hAnsi="Times New Roman"/>
          <w:sz w:val="24"/>
        </w:rPr>
        <w:t xml:space="preserve">. </w:t>
      </w:r>
    </w:p>
    <w:p w14:paraId="6017C769" w14:textId="77777777" w:rsidR="00F7740D" w:rsidRPr="0010128E" w:rsidRDefault="00F7740D" w:rsidP="00F7740D">
      <w:pPr>
        <w:spacing w:line="480" w:lineRule="auto"/>
        <w:ind w:firstLine="720"/>
        <w:rPr>
          <w:rFonts w:ascii="Times New Roman" w:hAnsi="Times New Roman"/>
          <w:sz w:val="24"/>
        </w:rPr>
      </w:pPr>
      <w:r w:rsidRPr="0010128E">
        <w:rPr>
          <w:rFonts w:ascii="Times New Roman" w:hAnsi="Times New Roman"/>
          <w:sz w:val="24"/>
        </w:rPr>
        <w:t xml:space="preserve">Cost-sharing policy was introduced in the early 1990s through the introduction of user fees (Mtei et al., 2007). The scope of commercial health insurance is very limited in Tanzania; instead the focus has been growing community-based pre-payment programs. The Community Health Funds (CHF), introduced in 1996, is a community-based insurance plan that focuses on primary health care centers. The goal of the CHF, devised in conjunction with the World Bank’s International Development Association, is to improve financial stability in the health sector </w:t>
      </w:r>
      <w:r w:rsidRPr="0010128E">
        <w:rPr>
          <w:rFonts w:ascii="Times New Roman" w:hAnsi="Times New Roman"/>
          <w:noProof/>
          <w:sz w:val="24"/>
        </w:rPr>
        <w:t>(Dambisya &amp; Ichoku, 2012)</w:t>
      </w:r>
      <w:r w:rsidRPr="0010128E">
        <w:rPr>
          <w:rFonts w:ascii="Times New Roman" w:hAnsi="Times New Roman"/>
          <w:sz w:val="24"/>
        </w:rPr>
        <w:t xml:space="preserve">. The CHF was designed primarily for rural communities based on the concept of risk-sharing and community empowerment and aims to provide basic health care for poor and vulnerable populations within rural Tanzania. Overall, the CHF contributes only about 15% to the total revenue within the Tanzanian health sector </w:t>
      </w:r>
      <w:r w:rsidRPr="0010128E">
        <w:rPr>
          <w:rFonts w:ascii="Times New Roman" w:hAnsi="Times New Roman"/>
          <w:noProof/>
          <w:sz w:val="24"/>
        </w:rPr>
        <w:t>(Macha, et al., 2012)</w:t>
      </w:r>
      <w:r w:rsidRPr="0010128E">
        <w:rPr>
          <w:rFonts w:ascii="Times New Roman" w:hAnsi="Times New Roman"/>
          <w:sz w:val="24"/>
        </w:rPr>
        <w:t>. Consequently, enrollment in CHF is rather low across the country due to barriers such as high CHF membership fees compared to small user fees in public facilities</w:t>
      </w:r>
      <w:r w:rsidRPr="0010128E">
        <w:rPr>
          <w:rFonts w:ascii="Times New Roman" w:hAnsi="Times New Roman"/>
          <w:noProof/>
          <w:sz w:val="24"/>
        </w:rPr>
        <w:t xml:space="preserve"> (Macha, et al., 2012; Mtei, Mulligan, Ally, Palmer, &amp; Mills, 2007)</w:t>
      </w:r>
      <w:r w:rsidRPr="0010128E">
        <w:rPr>
          <w:rFonts w:ascii="Times New Roman" w:hAnsi="Times New Roman"/>
          <w:sz w:val="24"/>
        </w:rPr>
        <w:t xml:space="preserve">. </w:t>
      </w:r>
    </w:p>
    <w:p w14:paraId="0B49E436" w14:textId="77777777" w:rsidR="00F7740D" w:rsidRPr="0010128E" w:rsidRDefault="00F7740D" w:rsidP="00F7740D">
      <w:pPr>
        <w:spacing w:line="480" w:lineRule="auto"/>
        <w:rPr>
          <w:rFonts w:ascii="Times New Roman" w:hAnsi="Times New Roman"/>
          <w:sz w:val="24"/>
        </w:rPr>
      </w:pPr>
      <w:r w:rsidRPr="0010128E">
        <w:rPr>
          <w:rFonts w:ascii="Times New Roman" w:hAnsi="Times New Roman"/>
          <w:sz w:val="24"/>
        </w:rPr>
        <w:tab/>
        <w:t xml:space="preserve">In 2001, Tanzania instituted the first phase of a mandatory health insurance system known as the National Health Insurance Fund (NHIF). This made it compulsory for all public workers to become a member the NHIF (Mtei, Mulligan, Ally, Palmer, &amp; Mills, 2007). This health insurance program is funded by a 6% payroll contribution, split evenly between the employer and employee, and covers the public employees, spouses, and up to four other dependents. </w:t>
      </w:r>
    </w:p>
    <w:p w14:paraId="2CC48FA9" w14:textId="77777777" w:rsidR="00F7740D" w:rsidRPr="0010128E" w:rsidRDefault="00F7740D" w:rsidP="00F7740D">
      <w:pPr>
        <w:spacing w:line="480" w:lineRule="auto"/>
        <w:ind w:firstLine="720"/>
        <w:rPr>
          <w:rFonts w:ascii="Times New Roman" w:hAnsi="Times New Roman"/>
          <w:sz w:val="24"/>
        </w:rPr>
      </w:pPr>
      <w:r w:rsidRPr="0010128E">
        <w:rPr>
          <w:rFonts w:ascii="Times New Roman" w:hAnsi="Times New Roman"/>
          <w:sz w:val="24"/>
        </w:rPr>
        <w:t xml:space="preserve">In addition to the CHF and NHIF health insurance programs, the National Social Security Fund (NSSF) is a pre-payment program available for formal sector employees to contribute towards their own health and that of their families (MOHSW, 2009).  According to the 2002 census, approximately 5.6% of the population was enrolled in the NSSF (MOHSW, 2009). Conversely, enrollment voluntary health insurance programs like the CHF remain low; in some areas enrollment rates are less than 2% in this voluntary insurance program (Mtei et al., 2007).  </w:t>
      </w:r>
    </w:p>
    <w:p w14:paraId="0BC80809" w14:textId="77777777" w:rsidR="00F7740D" w:rsidRPr="0010128E" w:rsidRDefault="00F7740D" w:rsidP="00F7740D">
      <w:pPr>
        <w:spacing w:line="480" w:lineRule="auto"/>
        <w:rPr>
          <w:rFonts w:ascii="Times New Roman" w:hAnsi="Times New Roman"/>
          <w:sz w:val="24"/>
        </w:rPr>
      </w:pPr>
      <w:r w:rsidRPr="0010128E">
        <w:rPr>
          <w:rFonts w:ascii="Times New Roman" w:hAnsi="Times New Roman"/>
          <w:sz w:val="24"/>
        </w:rPr>
        <w:tab/>
        <w:t xml:space="preserve">Regardless of health insurance programs, out-of-pocket payments are high compared to other sources of health care financing. In 2006, about 47% of health care financing came from household out-of-pocket-expenditures (Mtei &amp; Borghi, 2007).  Public financing accounts for about 43%, relatively evenly split between the government budget and donor support.  As a whole, public health financing remains only 10% of total public financing, below the Abuja target of 15%. </w:t>
      </w:r>
    </w:p>
    <w:p w14:paraId="226F8B48" w14:textId="52D0F01C" w:rsidR="00F7740D" w:rsidRPr="0010128E" w:rsidRDefault="00F7740D" w:rsidP="00A15F7D">
      <w:pPr>
        <w:spacing w:line="480" w:lineRule="auto"/>
        <w:ind w:firstLine="720"/>
        <w:rPr>
          <w:rFonts w:ascii="Times New Roman" w:hAnsi="Times New Roman"/>
          <w:sz w:val="24"/>
        </w:rPr>
      </w:pPr>
      <w:r w:rsidRPr="0010128E">
        <w:rPr>
          <w:rFonts w:ascii="Times New Roman" w:hAnsi="Times New Roman"/>
          <w:sz w:val="24"/>
        </w:rPr>
        <w:t>Makawia</w:t>
      </w:r>
      <w:r w:rsidRPr="0010128E">
        <w:rPr>
          <w:rFonts w:ascii="Times New Roman" w:hAnsi="Times New Roman"/>
          <w:noProof/>
          <w:sz w:val="24"/>
        </w:rPr>
        <w:t>, Macha, Ally, and Borghi (2010)</w:t>
      </w:r>
      <w:r w:rsidRPr="0010128E">
        <w:rPr>
          <w:rFonts w:ascii="Times New Roman" w:hAnsi="Times New Roman"/>
          <w:sz w:val="24"/>
        </w:rPr>
        <w:t xml:space="preserve"> note that health care services overall in Tanzania benefit the rich more than the poor, as the poorest 20% receive less benefit than they need. In terms of </w:t>
      </w:r>
      <w:r w:rsidRPr="0010128E">
        <w:rPr>
          <w:rFonts w:ascii="Times New Roman" w:hAnsi="Times New Roman"/>
          <w:i/>
          <w:sz w:val="24"/>
        </w:rPr>
        <w:t>equal access for equal need</w:t>
      </w:r>
      <w:r w:rsidRPr="0010128E">
        <w:rPr>
          <w:rFonts w:ascii="Times New Roman" w:hAnsi="Times New Roman"/>
          <w:sz w:val="24"/>
        </w:rPr>
        <w:t>, Figure 1 shows that there are large improvements to be made. The lowest income quintile is far from receiving their fair share of benefits in comparison to need.</w:t>
      </w:r>
    </w:p>
    <w:p w14:paraId="057960A7" w14:textId="62B9FE60" w:rsidR="00EF28A7" w:rsidRPr="0010128E" w:rsidRDefault="00067691" w:rsidP="002A0C69">
      <w:pPr>
        <w:pStyle w:val="Caption"/>
        <w:spacing w:after="0"/>
        <w:rPr>
          <w:rFonts w:ascii="Times New Roman" w:hAnsi="Times New Roman"/>
          <w:b w:val="0"/>
          <w:color w:val="auto"/>
          <w:sz w:val="20"/>
          <w:szCs w:val="20"/>
        </w:rPr>
      </w:pPr>
      <w:r>
        <w:rPr>
          <w:noProof/>
        </w:rPr>
        <w:drawing>
          <wp:inline distT="0" distB="0" distL="0" distR="0" wp14:anchorId="14608BB5" wp14:editId="04B0BEBD">
            <wp:extent cx="5054600" cy="2640459"/>
            <wp:effectExtent l="0" t="0" r="2540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F0B8D5" w14:textId="6A57F63C" w:rsidR="002A0C69" w:rsidRPr="0010128E" w:rsidRDefault="002A0C69" w:rsidP="002A0C69">
      <w:pPr>
        <w:pStyle w:val="Caption"/>
        <w:spacing w:after="0"/>
        <w:rPr>
          <w:rFonts w:ascii="Times New Roman" w:hAnsi="Times New Roman"/>
          <w:color w:val="auto"/>
          <w:sz w:val="20"/>
          <w:szCs w:val="20"/>
        </w:rPr>
      </w:pPr>
      <w:r w:rsidRPr="0010128E">
        <w:rPr>
          <w:rFonts w:ascii="Times New Roman" w:hAnsi="Times New Roman"/>
          <w:color w:val="auto"/>
          <w:sz w:val="20"/>
          <w:szCs w:val="20"/>
        </w:rPr>
        <w:t>Figure 1 Comparison of health consumption of benefits versus need by income quintile, 2008</w:t>
      </w:r>
    </w:p>
    <w:p w14:paraId="2AEF78CE" w14:textId="3335C2E3" w:rsidR="002A0C69" w:rsidRPr="0010128E" w:rsidRDefault="002A0C69" w:rsidP="002A0C69">
      <w:pPr>
        <w:pStyle w:val="Caption"/>
        <w:spacing w:after="0"/>
        <w:rPr>
          <w:rFonts w:ascii="Times New Roman" w:hAnsi="Times New Roman"/>
          <w:b w:val="0"/>
          <w:color w:val="auto"/>
          <w:sz w:val="20"/>
          <w:szCs w:val="20"/>
        </w:rPr>
      </w:pPr>
      <w:r w:rsidRPr="0010128E">
        <w:rPr>
          <w:rFonts w:ascii="Times New Roman" w:hAnsi="Times New Roman"/>
          <w:b w:val="0"/>
          <w:color w:val="auto"/>
          <w:sz w:val="20"/>
          <w:szCs w:val="20"/>
        </w:rPr>
        <w:t xml:space="preserve">Graph Note: </w:t>
      </w:r>
      <w:r w:rsidR="00864CD1" w:rsidRPr="0010128E">
        <w:rPr>
          <w:rFonts w:ascii="Times New Roman" w:hAnsi="Times New Roman"/>
          <w:b w:val="0"/>
          <w:color w:val="auto"/>
          <w:sz w:val="20"/>
          <w:szCs w:val="20"/>
        </w:rPr>
        <w:t>The Poorest 20% received approximately 10% of health benefits</w:t>
      </w:r>
    </w:p>
    <w:p w14:paraId="37A0F753" w14:textId="3253F52E" w:rsidR="00F5795F" w:rsidRPr="0010128E" w:rsidRDefault="002A0C69" w:rsidP="00B93D19">
      <w:pPr>
        <w:spacing w:after="240" w:line="480" w:lineRule="auto"/>
        <w:rPr>
          <w:rFonts w:ascii="Times New Roman" w:hAnsi="Times New Roman"/>
          <w:sz w:val="20"/>
          <w:szCs w:val="20"/>
        </w:rPr>
      </w:pPr>
      <w:r w:rsidRPr="0010128E">
        <w:rPr>
          <w:rFonts w:ascii="Times New Roman" w:hAnsi="Times New Roman"/>
          <w:sz w:val="20"/>
          <w:szCs w:val="20"/>
        </w:rPr>
        <w:t xml:space="preserve">Source: </w:t>
      </w:r>
      <w:r w:rsidR="00AA04D1" w:rsidRPr="0010128E">
        <w:rPr>
          <w:rFonts w:ascii="Times New Roman" w:hAnsi="Times New Roman"/>
          <w:sz w:val="20"/>
          <w:szCs w:val="20"/>
        </w:rPr>
        <w:t>Makawia</w:t>
      </w:r>
      <w:r w:rsidRPr="0010128E">
        <w:rPr>
          <w:rFonts w:ascii="Times New Roman" w:hAnsi="Times New Roman"/>
          <w:sz w:val="20"/>
          <w:szCs w:val="20"/>
        </w:rPr>
        <w:t xml:space="preserve"> et al., 2010</w:t>
      </w:r>
    </w:p>
    <w:p w14:paraId="3E1D64CA" w14:textId="04FF579E" w:rsidR="00F7740D" w:rsidRPr="0010128E" w:rsidRDefault="00A432B3" w:rsidP="003117E5">
      <w:pPr>
        <w:spacing w:line="480" w:lineRule="auto"/>
        <w:ind w:firstLine="720"/>
        <w:rPr>
          <w:rFonts w:ascii="Times New Roman" w:hAnsi="Times New Roman"/>
          <w:sz w:val="24"/>
        </w:rPr>
      </w:pPr>
      <w:r w:rsidRPr="0010128E">
        <w:rPr>
          <w:rFonts w:ascii="Times New Roman" w:hAnsi="Times New Roman"/>
          <w:sz w:val="24"/>
        </w:rPr>
        <w:t>The poorest 20% are</w:t>
      </w:r>
      <w:r w:rsidR="00F7740D" w:rsidRPr="0010128E">
        <w:rPr>
          <w:rFonts w:ascii="Times New Roman" w:hAnsi="Times New Roman"/>
          <w:sz w:val="24"/>
        </w:rPr>
        <w:t xml:space="preserve"> also less likely to be enrolled in a health insurance program and end up paying more out-of-pocket as a proportion of their income for health care services (see Figure 2)</w:t>
      </w:r>
      <w:r w:rsidR="000814F4" w:rsidRPr="0010128E">
        <w:rPr>
          <w:rFonts w:ascii="Times New Roman" w:hAnsi="Times New Roman"/>
          <w:sz w:val="24"/>
        </w:rPr>
        <w:t>.</w:t>
      </w:r>
    </w:p>
    <w:p w14:paraId="37ABEF67" w14:textId="7BEFB92F" w:rsidR="00BC2C3F" w:rsidRPr="0010128E" w:rsidRDefault="00067691" w:rsidP="002A0C69">
      <w:pPr>
        <w:pStyle w:val="Caption"/>
        <w:spacing w:after="0"/>
        <w:rPr>
          <w:rFonts w:ascii="Times New Roman" w:hAnsi="Times New Roman"/>
          <w:b w:val="0"/>
          <w:color w:val="auto"/>
          <w:sz w:val="20"/>
          <w:szCs w:val="20"/>
        </w:rPr>
      </w:pPr>
      <w:r>
        <w:rPr>
          <w:noProof/>
        </w:rPr>
        <w:drawing>
          <wp:inline distT="0" distB="0" distL="0" distR="0" wp14:anchorId="36A04AC4" wp14:editId="14EE29D0">
            <wp:extent cx="5856270" cy="2969232"/>
            <wp:effectExtent l="0" t="0" r="36830" b="285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DE92BA" w14:textId="62057A1C" w:rsidR="002A0C69" w:rsidRPr="0010128E" w:rsidRDefault="002A0C69" w:rsidP="002A0C69">
      <w:pPr>
        <w:pStyle w:val="Caption"/>
        <w:spacing w:after="0"/>
        <w:rPr>
          <w:rFonts w:ascii="Times New Roman" w:hAnsi="Times New Roman"/>
          <w:color w:val="auto"/>
          <w:sz w:val="20"/>
          <w:szCs w:val="20"/>
        </w:rPr>
      </w:pPr>
      <w:r w:rsidRPr="0010128E">
        <w:rPr>
          <w:rFonts w:ascii="Times New Roman" w:hAnsi="Times New Roman"/>
          <w:color w:val="auto"/>
          <w:sz w:val="20"/>
          <w:szCs w:val="20"/>
        </w:rPr>
        <w:t>Figure 2 Household Health Care Financing as Proportion of Income, 2008</w:t>
      </w:r>
    </w:p>
    <w:p w14:paraId="59D8432B" w14:textId="27AEB2BE" w:rsidR="00AA04D1" w:rsidRPr="0010128E" w:rsidRDefault="002A0C69" w:rsidP="00864CD1">
      <w:pPr>
        <w:pStyle w:val="Caption"/>
        <w:spacing w:after="0"/>
        <w:rPr>
          <w:rFonts w:ascii="Times New Roman" w:hAnsi="Times New Roman"/>
          <w:b w:val="0"/>
          <w:color w:val="auto"/>
          <w:sz w:val="20"/>
          <w:szCs w:val="20"/>
        </w:rPr>
      </w:pPr>
      <w:r w:rsidRPr="0010128E">
        <w:rPr>
          <w:rFonts w:ascii="Times New Roman" w:hAnsi="Times New Roman"/>
          <w:b w:val="0"/>
          <w:color w:val="auto"/>
          <w:sz w:val="20"/>
          <w:szCs w:val="20"/>
        </w:rPr>
        <w:t xml:space="preserve">Graph Note: </w:t>
      </w:r>
      <w:r w:rsidR="00AA04D1" w:rsidRPr="0010128E">
        <w:rPr>
          <w:rFonts w:ascii="Times New Roman" w:hAnsi="Times New Roman"/>
          <w:b w:val="0"/>
          <w:color w:val="auto"/>
          <w:sz w:val="20"/>
          <w:szCs w:val="20"/>
        </w:rPr>
        <w:t>Tax and OOP are generally the main burden of health care financing, with little enrollment in insurance plans</w:t>
      </w:r>
      <w:r w:rsidR="00CA07E9" w:rsidRPr="0010128E">
        <w:rPr>
          <w:rFonts w:ascii="Times New Roman" w:hAnsi="Times New Roman"/>
          <w:b w:val="0"/>
          <w:color w:val="auto"/>
          <w:sz w:val="20"/>
          <w:szCs w:val="20"/>
        </w:rPr>
        <w:t xml:space="preserve">. Membership in CHF (and the respective proportion of income allotted to CHF) is </w:t>
      </w:r>
      <w:r w:rsidR="000169AC" w:rsidRPr="0010128E">
        <w:rPr>
          <w:rFonts w:ascii="Times New Roman" w:hAnsi="Times New Roman"/>
          <w:b w:val="0"/>
          <w:color w:val="auto"/>
          <w:sz w:val="20"/>
          <w:szCs w:val="20"/>
        </w:rPr>
        <w:t>limited;</w:t>
      </w:r>
      <w:r w:rsidR="00CA07E9" w:rsidRPr="0010128E">
        <w:rPr>
          <w:rFonts w:ascii="Times New Roman" w:hAnsi="Times New Roman"/>
          <w:b w:val="0"/>
          <w:color w:val="auto"/>
          <w:sz w:val="20"/>
          <w:szCs w:val="20"/>
        </w:rPr>
        <w:t xml:space="preserve"> hence it’s low visibility</w:t>
      </w:r>
    </w:p>
    <w:p w14:paraId="3990FEF6" w14:textId="6BDD50FF" w:rsidR="004A0004" w:rsidRPr="003117E5" w:rsidRDefault="002A0C69" w:rsidP="003117E5">
      <w:pPr>
        <w:rPr>
          <w:rFonts w:ascii="Times New Roman" w:hAnsi="Times New Roman"/>
          <w:sz w:val="20"/>
          <w:szCs w:val="20"/>
        </w:rPr>
      </w:pPr>
      <w:r w:rsidRPr="0010128E">
        <w:rPr>
          <w:rFonts w:ascii="Times New Roman" w:hAnsi="Times New Roman"/>
          <w:sz w:val="20"/>
          <w:szCs w:val="20"/>
        </w:rPr>
        <w:t>Source: Mtei and Borghi, 2010</w:t>
      </w:r>
    </w:p>
    <w:p w14:paraId="0A91EA8D" w14:textId="19FA0784" w:rsidR="00F7740D" w:rsidRPr="0010128E" w:rsidRDefault="00F7740D" w:rsidP="00A432B3">
      <w:pPr>
        <w:spacing w:line="480" w:lineRule="auto"/>
        <w:ind w:firstLine="720"/>
        <w:rPr>
          <w:rFonts w:ascii="Times New Roman" w:hAnsi="Times New Roman"/>
          <w:sz w:val="24"/>
        </w:rPr>
      </w:pPr>
      <w:r w:rsidRPr="0010128E">
        <w:rPr>
          <w:rFonts w:ascii="Times New Roman" w:hAnsi="Times New Roman"/>
          <w:sz w:val="24"/>
        </w:rPr>
        <w:t xml:space="preserve">Figure 3 shows that since 1995 there has been an overall decrease in </w:t>
      </w:r>
      <w:r w:rsidR="006376F9">
        <w:rPr>
          <w:rFonts w:ascii="Times New Roman" w:hAnsi="Times New Roman"/>
          <w:sz w:val="24"/>
        </w:rPr>
        <w:t>out-of-pocket (</w:t>
      </w:r>
      <w:r w:rsidRPr="0010128E">
        <w:rPr>
          <w:rFonts w:ascii="Times New Roman" w:hAnsi="Times New Roman"/>
          <w:sz w:val="24"/>
        </w:rPr>
        <w:t>OOP</w:t>
      </w:r>
      <w:r w:rsidR="006376F9">
        <w:rPr>
          <w:rFonts w:ascii="Times New Roman" w:hAnsi="Times New Roman"/>
          <w:sz w:val="24"/>
        </w:rPr>
        <w:t>)</w:t>
      </w:r>
      <w:r w:rsidRPr="0010128E">
        <w:rPr>
          <w:rFonts w:ascii="Times New Roman" w:hAnsi="Times New Roman"/>
          <w:sz w:val="24"/>
        </w:rPr>
        <w:t xml:space="preserve"> expenditure as a percentage of private expenditure in health care s</w:t>
      </w:r>
      <w:r w:rsidR="00F5795F" w:rsidRPr="0010128E">
        <w:rPr>
          <w:rFonts w:ascii="Times New Roman" w:hAnsi="Times New Roman"/>
          <w:sz w:val="24"/>
        </w:rPr>
        <w:t>pending. This can be contributed to a combination of user fee exemptions and waivers for certain health services implemented in the mid-1990s (Hea</w:t>
      </w:r>
      <w:r w:rsidR="002A0C69" w:rsidRPr="0010128E">
        <w:rPr>
          <w:rFonts w:ascii="Times New Roman" w:hAnsi="Times New Roman"/>
          <w:sz w:val="24"/>
        </w:rPr>
        <w:t>lth Research for Action, 2006).</w:t>
      </w:r>
    </w:p>
    <w:p w14:paraId="1ADFEC21" w14:textId="77777777" w:rsidR="00F5795F" w:rsidRPr="0010128E" w:rsidRDefault="00F5795F" w:rsidP="00F5795F">
      <w:pPr>
        <w:rPr>
          <w:rFonts w:ascii="Times New Roman" w:hAnsi="Times New Roman"/>
          <w:sz w:val="24"/>
        </w:rPr>
      </w:pPr>
    </w:p>
    <w:p w14:paraId="1B727DB7" w14:textId="0DD0B2F2" w:rsidR="00F5795F" w:rsidRPr="0010128E" w:rsidRDefault="00EF28A7" w:rsidP="00F5795F">
      <w:pPr>
        <w:keepNext/>
        <w:rPr>
          <w:rFonts w:ascii="Times New Roman" w:hAnsi="Times New Roman"/>
          <w:sz w:val="24"/>
        </w:rPr>
      </w:pPr>
      <w:r w:rsidRPr="0010128E">
        <w:rPr>
          <w:rFonts w:ascii="Times New Roman" w:hAnsi="Times New Roman"/>
          <w:noProof/>
        </w:rPr>
        <w:drawing>
          <wp:inline distT="0" distB="0" distL="0" distR="0" wp14:anchorId="1A6D9E18" wp14:editId="4D1CA9D3">
            <wp:extent cx="5609590" cy="2989780"/>
            <wp:effectExtent l="0" t="0" r="29210" b="330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CDE9D0" w14:textId="0CB7C091" w:rsidR="00864CD1" w:rsidRPr="00067691" w:rsidRDefault="00864CD1" w:rsidP="00864CD1">
      <w:pPr>
        <w:pStyle w:val="Caption"/>
        <w:spacing w:after="0"/>
        <w:rPr>
          <w:rFonts w:ascii="Times New Roman" w:hAnsi="Times New Roman"/>
          <w:color w:val="auto"/>
          <w:sz w:val="20"/>
          <w:szCs w:val="20"/>
        </w:rPr>
      </w:pPr>
      <w:r w:rsidRPr="00067691">
        <w:rPr>
          <w:rFonts w:ascii="Times New Roman" w:hAnsi="Times New Roman"/>
          <w:color w:val="auto"/>
          <w:sz w:val="20"/>
          <w:szCs w:val="20"/>
        </w:rPr>
        <w:t xml:space="preserve">Figure 3 Expenditure on Health as Percentage of </w:t>
      </w:r>
      <w:r w:rsidR="00067691">
        <w:rPr>
          <w:rFonts w:ascii="Times New Roman" w:hAnsi="Times New Roman"/>
          <w:color w:val="auto"/>
          <w:sz w:val="20"/>
          <w:szCs w:val="20"/>
        </w:rPr>
        <w:t>THE</w:t>
      </w:r>
      <w:r w:rsidRPr="00067691">
        <w:rPr>
          <w:rFonts w:ascii="Times New Roman" w:hAnsi="Times New Roman"/>
          <w:color w:val="auto"/>
          <w:sz w:val="20"/>
          <w:szCs w:val="20"/>
        </w:rPr>
        <w:t xml:space="preserve"> in Tanzania</w:t>
      </w:r>
    </w:p>
    <w:p w14:paraId="124D9326" w14:textId="058FB040" w:rsidR="00F5795F" w:rsidRPr="0010128E" w:rsidRDefault="00F5795F" w:rsidP="00F5795F">
      <w:pPr>
        <w:pStyle w:val="Caption"/>
        <w:rPr>
          <w:rFonts w:ascii="Times New Roman" w:hAnsi="Times New Roman"/>
          <w:b w:val="0"/>
          <w:color w:val="auto"/>
          <w:sz w:val="20"/>
          <w:szCs w:val="20"/>
        </w:rPr>
      </w:pPr>
      <w:r w:rsidRPr="0010128E">
        <w:rPr>
          <w:rFonts w:ascii="Times New Roman" w:hAnsi="Times New Roman"/>
          <w:b w:val="0"/>
          <w:bCs w:val="0"/>
          <w:color w:val="auto"/>
          <w:sz w:val="20"/>
          <w:szCs w:val="20"/>
        </w:rPr>
        <w:t>Source: WHO</w:t>
      </w:r>
      <w:r w:rsidRPr="0010128E">
        <w:rPr>
          <w:rFonts w:ascii="Times New Roman" w:hAnsi="Times New Roman"/>
          <w:b w:val="0"/>
          <w:color w:val="auto"/>
          <w:sz w:val="20"/>
          <w:szCs w:val="20"/>
        </w:rPr>
        <w:t>, Health Systems 20/20 Database (USAID)</w:t>
      </w:r>
    </w:p>
    <w:p w14:paraId="4512DF16" w14:textId="77777777" w:rsidR="00F5795F" w:rsidRPr="0010128E" w:rsidRDefault="00F5795F" w:rsidP="00F5795F">
      <w:pPr>
        <w:rPr>
          <w:rFonts w:ascii="Times New Roman" w:hAnsi="Times New Roman"/>
        </w:rPr>
      </w:pPr>
    </w:p>
    <w:p w14:paraId="0005375F" w14:textId="77777777" w:rsidR="00B147C4" w:rsidRPr="0010128E" w:rsidRDefault="00977772" w:rsidP="00B147C4">
      <w:pPr>
        <w:spacing w:line="480" w:lineRule="auto"/>
        <w:ind w:firstLine="720"/>
        <w:rPr>
          <w:rFonts w:ascii="Times New Roman" w:hAnsi="Times New Roman"/>
          <w:sz w:val="24"/>
        </w:rPr>
      </w:pPr>
      <w:r w:rsidRPr="0010128E">
        <w:rPr>
          <w:rFonts w:ascii="Times New Roman" w:hAnsi="Times New Roman"/>
          <w:sz w:val="24"/>
        </w:rPr>
        <w:t xml:space="preserve">Since user fees are typically charged in public and private facilities, exemptions were created based on priority health services </w:t>
      </w:r>
      <w:r w:rsidR="005954B6" w:rsidRPr="0010128E">
        <w:rPr>
          <w:rFonts w:ascii="Times New Roman" w:hAnsi="Times New Roman"/>
          <w:sz w:val="24"/>
        </w:rPr>
        <w:t>to vulnerable groups. These services were authorized to be maternity care during pregnancy and child birth, preventive and curative care for children under five, and treatment for certain diseases including HIV/AIDS, TB, Leprosy, and cancer (Health Research for Action, 2006). In practice, exemption policies are typically followed, however there is often inconsistency with some of the diseases between facilities and issues with reimbursement for exempt services at non-governmental facilities (Health Research for Action, 2006).</w:t>
      </w:r>
    </w:p>
    <w:p w14:paraId="6329EBF6" w14:textId="77777777" w:rsidR="002F3D48" w:rsidRPr="0010128E" w:rsidRDefault="005954B6" w:rsidP="005954B6">
      <w:pPr>
        <w:spacing w:line="480" w:lineRule="auto"/>
        <w:ind w:firstLine="720"/>
        <w:rPr>
          <w:rFonts w:ascii="Times New Roman" w:hAnsi="Times New Roman"/>
          <w:sz w:val="24"/>
        </w:rPr>
      </w:pPr>
      <w:r w:rsidRPr="0010128E">
        <w:rPr>
          <w:rFonts w:ascii="Times New Roman" w:hAnsi="Times New Roman"/>
          <w:sz w:val="24"/>
        </w:rPr>
        <w:t>Unlike exemption policies, waivers at health facilities are extended for the poor, emergency patients, health worke</w:t>
      </w:r>
      <w:r w:rsidR="00182F58" w:rsidRPr="0010128E">
        <w:rPr>
          <w:rFonts w:ascii="Times New Roman" w:hAnsi="Times New Roman"/>
          <w:sz w:val="24"/>
        </w:rPr>
        <w:t>rs, elderly, and the disabled. In practice, t</w:t>
      </w:r>
      <w:r w:rsidRPr="0010128E">
        <w:rPr>
          <w:rFonts w:ascii="Times New Roman" w:hAnsi="Times New Roman"/>
          <w:sz w:val="24"/>
        </w:rPr>
        <w:t xml:space="preserve">hese are less commonly used than exemptions due to inconsistent waiver registers and </w:t>
      </w:r>
      <w:r w:rsidR="002F3D48" w:rsidRPr="0010128E">
        <w:rPr>
          <w:rFonts w:ascii="Times New Roman" w:hAnsi="Times New Roman"/>
          <w:sz w:val="24"/>
        </w:rPr>
        <w:t xml:space="preserve">unclear definitions of </w:t>
      </w:r>
      <w:r w:rsidRPr="0010128E">
        <w:rPr>
          <w:rFonts w:ascii="Times New Roman" w:hAnsi="Times New Roman"/>
          <w:sz w:val="24"/>
        </w:rPr>
        <w:t>eligibility for waivers. As a result of these inconsistencies, waivers are supposed to be issued at the local and district levels. Barriers to rece</w:t>
      </w:r>
      <w:r w:rsidR="00E86444" w:rsidRPr="0010128E">
        <w:rPr>
          <w:rFonts w:ascii="Times New Roman" w:hAnsi="Times New Roman"/>
          <w:sz w:val="24"/>
        </w:rPr>
        <w:t>iving waivers continue due to lack of information (poor unaware of their rights to waivers), fear of stigmatization, and difficult regis</w:t>
      </w:r>
      <w:r w:rsidR="006853E7" w:rsidRPr="0010128E">
        <w:rPr>
          <w:rFonts w:ascii="Times New Roman" w:hAnsi="Times New Roman"/>
          <w:sz w:val="24"/>
        </w:rPr>
        <w:t>tration procedures for waivers</w:t>
      </w:r>
      <w:r w:rsidR="00AE4ABF" w:rsidRPr="0010128E">
        <w:rPr>
          <w:rFonts w:ascii="Times New Roman" w:hAnsi="Times New Roman"/>
          <w:noProof/>
          <w:sz w:val="24"/>
        </w:rPr>
        <w:t xml:space="preserve"> (Health Research for Action, 2006)</w:t>
      </w:r>
      <w:r w:rsidR="00E86444" w:rsidRPr="0010128E">
        <w:rPr>
          <w:rFonts w:ascii="Times New Roman" w:hAnsi="Times New Roman"/>
          <w:sz w:val="24"/>
        </w:rPr>
        <w:t xml:space="preserve">. </w:t>
      </w:r>
    </w:p>
    <w:p w14:paraId="019144F6" w14:textId="5FABDB9E" w:rsidR="006853E7" w:rsidRPr="0010128E" w:rsidRDefault="00300A7A" w:rsidP="003117E5">
      <w:pPr>
        <w:spacing w:line="480" w:lineRule="auto"/>
        <w:ind w:firstLine="720"/>
        <w:rPr>
          <w:rFonts w:ascii="Times New Roman" w:hAnsi="Times New Roman"/>
          <w:sz w:val="24"/>
        </w:rPr>
      </w:pPr>
      <w:r w:rsidRPr="0010128E">
        <w:rPr>
          <w:rFonts w:ascii="Times New Roman" w:hAnsi="Times New Roman"/>
          <w:sz w:val="24"/>
        </w:rPr>
        <w:t>Table 2</w:t>
      </w:r>
      <w:r w:rsidR="006853E7" w:rsidRPr="0010128E">
        <w:rPr>
          <w:rFonts w:ascii="Times New Roman" w:hAnsi="Times New Roman"/>
          <w:sz w:val="24"/>
        </w:rPr>
        <w:t xml:space="preserve"> is a comparison of user fee charges by facility type. The effect of user fees is a double-edged sword: on the one side they help increase funds available to the facility, and on the other side they may deter poor clients from using services </w:t>
      </w:r>
      <w:r w:rsidR="006853E7" w:rsidRPr="0010128E">
        <w:rPr>
          <w:rFonts w:ascii="Times New Roman" w:hAnsi="Times New Roman"/>
          <w:noProof/>
          <w:sz w:val="24"/>
        </w:rPr>
        <w:t>(National Bureau of Statistics (NBS) [Tanzania] and Macro International Inc., 2007)</w:t>
      </w:r>
      <w:r w:rsidR="006853E7" w:rsidRPr="0010128E">
        <w:rPr>
          <w:rFonts w:ascii="Times New Roman" w:hAnsi="Times New Roman"/>
          <w:sz w:val="24"/>
        </w:rPr>
        <w:t>. Health policy dictates that all facilities should charge some form of user fees, with the exception of service exemptions and waivers. While antenatal care (ANC) services are to be provided free of charge at all government facilities, there are still some discrepancies with about two percent still charging for these services. In contrast, private for-profit facilities (60%) and FBOs (33%) are more likely to charge for ANC services.</w:t>
      </w:r>
    </w:p>
    <w:p w14:paraId="69CAF373" w14:textId="692604D4" w:rsidR="0094787C" w:rsidRPr="0010128E" w:rsidRDefault="006853E7" w:rsidP="00864CD1">
      <w:pPr>
        <w:pStyle w:val="Caption"/>
        <w:keepNext/>
        <w:rPr>
          <w:rFonts w:ascii="Times New Roman" w:hAnsi="Times New Roman"/>
          <w:color w:val="auto"/>
          <w:sz w:val="24"/>
          <w:szCs w:val="24"/>
        </w:rPr>
      </w:pPr>
      <w:r w:rsidRPr="0010128E">
        <w:rPr>
          <w:rFonts w:ascii="Times New Roman" w:hAnsi="Times New Roman"/>
          <w:color w:val="auto"/>
          <w:sz w:val="24"/>
          <w:szCs w:val="24"/>
        </w:rPr>
        <w:t xml:space="preserve">Table </w:t>
      </w:r>
      <w:r w:rsidR="00300A7A" w:rsidRPr="0010128E">
        <w:rPr>
          <w:rFonts w:ascii="Times New Roman" w:hAnsi="Times New Roman"/>
          <w:color w:val="auto"/>
          <w:sz w:val="24"/>
          <w:szCs w:val="24"/>
        </w:rPr>
        <w:t>2</w:t>
      </w:r>
      <w:r w:rsidR="00864CD1" w:rsidRPr="0010128E">
        <w:rPr>
          <w:rFonts w:ascii="Times New Roman" w:hAnsi="Times New Roman"/>
          <w:color w:val="auto"/>
          <w:sz w:val="24"/>
          <w:szCs w:val="24"/>
        </w:rPr>
        <w:t xml:space="preserve"> </w:t>
      </w:r>
      <w:r w:rsidR="0094787C" w:rsidRPr="0010128E">
        <w:rPr>
          <w:rFonts w:ascii="Times New Roman" w:hAnsi="Times New Roman"/>
          <w:color w:val="auto"/>
          <w:sz w:val="24"/>
        </w:rPr>
        <w:t xml:space="preserve">User Fee Charges, 2007 </w:t>
      </w:r>
    </w:p>
    <w:tbl>
      <w:tblPr>
        <w:tblW w:w="9478" w:type="dxa"/>
        <w:tblInd w:w="93" w:type="dxa"/>
        <w:tblLook w:val="04A0" w:firstRow="1" w:lastRow="0" w:firstColumn="1" w:lastColumn="0" w:noHBand="0" w:noVBand="1"/>
      </w:tblPr>
      <w:tblGrid>
        <w:gridCol w:w="1855"/>
        <w:gridCol w:w="2344"/>
        <w:gridCol w:w="1753"/>
        <w:gridCol w:w="1958"/>
        <w:gridCol w:w="1568"/>
      </w:tblGrid>
      <w:tr w:rsidR="003117E5" w:rsidRPr="0010128E" w14:paraId="7809B3FC" w14:textId="77777777" w:rsidTr="003117E5">
        <w:trPr>
          <w:trHeight w:val="172"/>
        </w:trPr>
        <w:tc>
          <w:tcPr>
            <w:tcW w:w="9478" w:type="dxa"/>
            <w:gridSpan w:val="5"/>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104667D3" w14:textId="77777777" w:rsidR="006853E7" w:rsidRPr="0010128E" w:rsidRDefault="006853E7" w:rsidP="006853E7">
            <w:pPr>
              <w:rPr>
                <w:rFonts w:ascii="Times New Roman" w:eastAsia="Times New Roman" w:hAnsi="Times New Roman"/>
                <w:b/>
                <w:sz w:val="24"/>
              </w:rPr>
            </w:pPr>
            <w:r w:rsidRPr="0010128E">
              <w:rPr>
                <w:rFonts w:ascii="Times New Roman" w:eastAsia="Times New Roman" w:hAnsi="Times New Roman"/>
                <w:b/>
                <w:sz w:val="24"/>
              </w:rPr>
              <w:t xml:space="preserve">Comparison of user fee charges by facility </w:t>
            </w:r>
          </w:p>
        </w:tc>
      </w:tr>
      <w:tr w:rsidR="003117E5" w:rsidRPr="0010128E" w14:paraId="4B0D4711" w14:textId="77777777" w:rsidTr="003117E5">
        <w:trPr>
          <w:trHeight w:val="228"/>
        </w:trPr>
        <w:tc>
          <w:tcPr>
            <w:tcW w:w="1855" w:type="dxa"/>
            <w:tcBorders>
              <w:top w:val="nil"/>
              <w:left w:val="single" w:sz="4" w:space="0" w:color="auto"/>
              <w:bottom w:val="single" w:sz="4" w:space="0" w:color="auto"/>
              <w:right w:val="single" w:sz="4" w:space="0" w:color="auto"/>
            </w:tcBorders>
            <w:shd w:val="clear" w:color="auto" w:fill="auto"/>
            <w:vAlign w:val="bottom"/>
          </w:tcPr>
          <w:p w14:paraId="21094683" w14:textId="77777777" w:rsidR="00744110" w:rsidRPr="0010128E" w:rsidRDefault="00744110" w:rsidP="006853E7">
            <w:pPr>
              <w:rPr>
                <w:rFonts w:ascii="Times New Roman" w:eastAsia="Times New Roman" w:hAnsi="Times New Roman"/>
                <w:sz w:val="24"/>
              </w:rPr>
            </w:pPr>
          </w:p>
        </w:tc>
        <w:tc>
          <w:tcPr>
            <w:tcW w:w="7623" w:type="dxa"/>
            <w:gridSpan w:val="4"/>
            <w:tcBorders>
              <w:top w:val="nil"/>
              <w:left w:val="nil"/>
              <w:bottom w:val="single" w:sz="4" w:space="0" w:color="auto"/>
              <w:right w:val="single" w:sz="4" w:space="0" w:color="auto"/>
            </w:tcBorders>
            <w:shd w:val="clear" w:color="auto" w:fill="C0C0C0"/>
            <w:vAlign w:val="center"/>
          </w:tcPr>
          <w:p w14:paraId="30626D71" w14:textId="14FF149F" w:rsidR="00744110" w:rsidRPr="0010128E" w:rsidRDefault="00744110" w:rsidP="00744110">
            <w:pPr>
              <w:jc w:val="center"/>
              <w:rPr>
                <w:rFonts w:ascii="Times New Roman" w:eastAsia="Times New Roman" w:hAnsi="Times New Roman"/>
                <w:b/>
                <w:sz w:val="24"/>
              </w:rPr>
            </w:pPr>
            <w:r w:rsidRPr="0010128E">
              <w:rPr>
                <w:rFonts w:ascii="Times New Roman" w:eastAsia="Times New Roman" w:hAnsi="Times New Roman"/>
                <w:b/>
                <w:sz w:val="24"/>
              </w:rPr>
              <w:t>Percentage of facilities:</w:t>
            </w:r>
          </w:p>
        </w:tc>
      </w:tr>
      <w:tr w:rsidR="003117E5" w:rsidRPr="0010128E" w14:paraId="113F9169" w14:textId="77777777" w:rsidTr="003117E5">
        <w:trPr>
          <w:trHeight w:val="386"/>
        </w:trPr>
        <w:tc>
          <w:tcPr>
            <w:tcW w:w="1855" w:type="dxa"/>
            <w:tcBorders>
              <w:top w:val="nil"/>
              <w:left w:val="single" w:sz="4" w:space="0" w:color="auto"/>
              <w:bottom w:val="single" w:sz="4" w:space="0" w:color="auto"/>
              <w:right w:val="single" w:sz="4" w:space="0" w:color="auto"/>
            </w:tcBorders>
            <w:shd w:val="clear" w:color="auto" w:fill="auto"/>
            <w:vAlign w:val="bottom"/>
            <w:hideMark/>
          </w:tcPr>
          <w:p w14:paraId="274ABC71" w14:textId="77777777" w:rsidR="006853E7" w:rsidRPr="0010128E" w:rsidRDefault="006853E7" w:rsidP="006853E7">
            <w:pPr>
              <w:rPr>
                <w:rFonts w:ascii="Times New Roman" w:eastAsia="Times New Roman" w:hAnsi="Times New Roman"/>
                <w:sz w:val="24"/>
              </w:rPr>
            </w:pPr>
            <w:r w:rsidRPr="0010128E">
              <w:rPr>
                <w:rFonts w:ascii="Times New Roman" w:eastAsia="Times New Roman" w:hAnsi="Times New Roman"/>
                <w:sz w:val="24"/>
              </w:rPr>
              <w:t> </w:t>
            </w:r>
          </w:p>
        </w:tc>
        <w:tc>
          <w:tcPr>
            <w:tcW w:w="2344" w:type="dxa"/>
            <w:tcBorders>
              <w:top w:val="nil"/>
              <w:left w:val="nil"/>
              <w:bottom w:val="single" w:sz="4" w:space="0" w:color="auto"/>
              <w:right w:val="single" w:sz="4" w:space="0" w:color="auto"/>
            </w:tcBorders>
            <w:shd w:val="clear" w:color="auto" w:fill="C0C0C0"/>
            <w:vAlign w:val="bottom"/>
            <w:hideMark/>
          </w:tcPr>
          <w:p w14:paraId="792BF21F" w14:textId="25BDEE81" w:rsidR="006853E7" w:rsidRPr="0010128E" w:rsidRDefault="00744110" w:rsidP="006853E7">
            <w:pPr>
              <w:rPr>
                <w:rFonts w:ascii="Times New Roman" w:eastAsia="Times New Roman" w:hAnsi="Times New Roman"/>
                <w:sz w:val="24"/>
              </w:rPr>
            </w:pPr>
            <w:r w:rsidRPr="0010128E">
              <w:rPr>
                <w:rFonts w:ascii="Times New Roman" w:eastAsia="Times New Roman" w:hAnsi="Times New Roman"/>
                <w:sz w:val="24"/>
              </w:rPr>
              <w:t>W</w:t>
            </w:r>
            <w:r w:rsidR="006853E7" w:rsidRPr="0010128E">
              <w:rPr>
                <w:rFonts w:ascii="Times New Roman" w:eastAsia="Times New Roman" w:hAnsi="Times New Roman"/>
                <w:sz w:val="24"/>
              </w:rPr>
              <w:t>ith any routine user fee for adult curative care</w:t>
            </w:r>
          </w:p>
        </w:tc>
        <w:tc>
          <w:tcPr>
            <w:tcW w:w="1753" w:type="dxa"/>
            <w:tcBorders>
              <w:top w:val="nil"/>
              <w:left w:val="nil"/>
              <w:bottom w:val="single" w:sz="4" w:space="0" w:color="auto"/>
              <w:right w:val="single" w:sz="4" w:space="0" w:color="auto"/>
            </w:tcBorders>
            <w:shd w:val="clear" w:color="auto" w:fill="C0C0C0"/>
            <w:vAlign w:val="bottom"/>
            <w:hideMark/>
          </w:tcPr>
          <w:p w14:paraId="25F47C82" w14:textId="246C39A6" w:rsidR="006853E7" w:rsidRPr="0010128E" w:rsidRDefault="00744110" w:rsidP="006853E7">
            <w:pPr>
              <w:rPr>
                <w:rFonts w:ascii="Times New Roman" w:eastAsia="Times New Roman" w:hAnsi="Times New Roman"/>
                <w:sz w:val="24"/>
              </w:rPr>
            </w:pPr>
            <w:r w:rsidRPr="0010128E">
              <w:rPr>
                <w:rFonts w:ascii="Times New Roman" w:eastAsia="Times New Roman" w:hAnsi="Times New Roman"/>
                <w:sz w:val="24"/>
              </w:rPr>
              <w:t>With</w:t>
            </w:r>
            <w:r w:rsidR="003F1B3D" w:rsidRPr="0010128E">
              <w:rPr>
                <w:rFonts w:ascii="Times New Roman" w:eastAsia="Times New Roman" w:hAnsi="Times New Roman"/>
                <w:sz w:val="24"/>
              </w:rPr>
              <w:t xml:space="preserve"> d</w:t>
            </w:r>
            <w:r w:rsidR="006853E7" w:rsidRPr="0010128E">
              <w:rPr>
                <w:rFonts w:ascii="Times New Roman" w:eastAsia="Times New Roman" w:hAnsi="Times New Roman"/>
                <w:sz w:val="24"/>
              </w:rPr>
              <w:t>iscount or exemption for some clients*</w:t>
            </w:r>
          </w:p>
        </w:tc>
        <w:tc>
          <w:tcPr>
            <w:tcW w:w="1958" w:type="dxa"/>
            <w:tcBorders>
              <w:top w:val="nil"/>
              <w:left w:val="nil"/>
              <w:bottom w:val="single" w:sz="4" w:space="0" w:color="auto"/>
              <w:right w:val="single" w:sz="4" w:space="0" w:color="auto"/>
            </w:tcBorders>
            <w:shd w:val="clear" w:color="auto" w:fill="C0C0C0"/>
            <w:vAlign w:val="bottom"/>
            <w:hideMark/>
          </w:tcPr>
          <w:p w14:paraId="2F595AC6" w14:textId="09C3F9DE" w:rsidR="006853E7" w:rsidRPr="0010128E" w:rsidRDefault="00744110" w:rsidP="006853E7">
            <w:pPr>
              <w:rPr>
                <w:rFonts w:ascii="Times New Roman" w:eastAsia="Times New Roman" w:hAnsi="Times New Roman"/>
                <w:sz w:val="24"/>
              </w:rPr>
            </w:pPr>
            <w:r w:rsidRPr="0010128E">
              <w:rPr>
                <w:rFonts w:ascii="Times New Roman" w:eastAsia="Times New Roman" w:hAnsi="Times New Roman"/>
                <w:sz w:val="24"/>
              </w:rPr>
              <w:t>W</w:t>
            </w:r>
            <w:r w:rsidR="003F1B3D" w:rsidRPr="0010128E">
              <w:rPr>
                <w:rFonts w:ascii="Times New Roman" w:eastAsia="Times New Roman" w:hAnsi="Times New Roman"/>
                <w:sz w:val="24"/>
              </w:rPr>
              <w:t>here c</w:t>
            </w:r>
            <w:r w:rsidR="006853E7" w:rsidRPr="0010128E">
              <w:rPr>
                <w:rFonts w:ascii="Times New Roman" w:eastAsia="Times New Roman" w:hAnsi="Times New Roman"/>
                <w:sz w:val="24"/>
              </w:rPr>
              <w:t>lient</w:t>
            </w:r>
            <w:r w:rsidR="003F1B3D" w:rsidRPr="0010128E">
              <w:rPr>
                <w:rFonts w:ascii="Times New Roman" w:eastAsia="Times New Roman" w:hAnsi="Times New Roman"/>
                <w:sz w:val="24"/>
              </w:rPr>
              <w:t>s</w:t>
            </w:r>
            <w:r w:rsidR="006853E7" w:rsidRPr="0010128E">
              <w:rPr>
                <w:rFonts w:ascii="Times New Roman" w:eastAsia="Times New Roman" w:hAnsi="Times New Roman"/>
                <w:sz w:val="24"/>
              </w:rPr>
              <w:t xml:space="preserve"> can prepay for multiple visits or for one service*</w:t>
            </w:r>
          </w:p>
        </w:tc>
        <w:tc>
          <w:tcPr>
            <w:tcW w:w="1568" w:type="dxa"/>
            <w:tcBorders>
              <w:top w:val="nil"/>
              <w:left w:val="nil"/>
              <w:bottom w:val="single" w:sz="4" w:space="0" w:color="auto"/>
              <w:right w:val="single" w:sz="4" w:space="0" w:color="auto"/>
            </w:tcBorders>
            <w:shd w:val="clear" w:color="auto" w:fill="C0C0C0"/>
            <w:vAlign w:val="bottom"/>
            <w:hideMark/>
          </w:tcPr>
          <w:p w14:paraId="11FC25B7" w14:textId="0F0FCF5F" w:rsidR="006853E7" w:rsidRPr="0010128E" w:rsidRDefault="00744110" w:rsidP="006853E7">
            <w:pPr>
              <w:rPr>
                <w:rFonts w:ascii="Times New Roman" w:eastAsia="Times New Roman" w:hAnsi="Times New Roman"/>
                <w:sz w:val="24"/>
              </w:rPr>
            </w:pPr>
            <w:r w:rsidRPr="0010128E">
              <w:rPr>
                <w:rFonts w:ascii="Times New Roman" w:eastAsia="Times New Roman" w:hAnsi="Times New Roman"/>
                <w:sz w:val="24"/>
              </w:rPr>
              <w:t>W</w:t>
            </w:r>
            <w:r w:rsidR="003F1B3D" w:rsidRPr="0010128E">
              <w:rPr>
                <w:rFonts w:ascii="Times New Roman" w:eastAsia="Times New Roman" w:hAnsi="Times New Roman"/>
                <w:sz w:val="24"/>
              </w:rPr>
              <w:t>ith u</w:t>
            </w:r>
            <w:r w:rsidR="006853E7" w:rsidRPr="0010128E">
              <w:rPr>
                <w:rFonts w:ascii="Times New Roman" w:eastAsia="Times New Roman" w:hAnsi="Times New Roman"/>
                <w:sz w:val="24"/>
              </w:rPr>
              <w:t>ser fees for ANC</w:t>
            </w:r>
          </w:p>
        </w:tc>
      </w:tr>
      <w:tr w:rsidR="003117E5" w:rsidRPr="0010128E" w14:paraId="6E94C119" w14:textId="77777777" w:rsidTr="003117E5">
        <w:trPr>
          <w:trHeight w:val="172"/>
        </w:trPr>
        <w:tc>
          <w:tcPr>
            <w:tcW w:w="185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4EBA17E6" w14:textId="77777777" w:rsidR="006853E7" w:rsidRPr="0010128E" w:rsidRDefault="006853E7" w:rsidP="006853E7">
            <w:pPr>
              <w:rPr>
                <w:rFonts w:ascii="Times New Roman" w:eastAsia="Times New Roman" w:hAnsi="Times New Roman"/>
                <w:b/>
                <w:sz w:val="24"/>
              </w:rPr>
            </w:pPr>
            <w:r w:rsidRPr="0010128E">
              <w:rPr>
                <w:rFonts w:ascii="Times New Roman" w:eastAsia="Times New Roman" w:hAnsi="Times New Roman"/>
                <w:b/>
                <w:sz w:val="24"/>
              </w:rPr>
              <w:t>Government</w:t>
            </w:r>
          </w:p>
        </w:tc>
        <w:tc>
          <w:tcPr>
            <w:tcW w:w="2344" w:type="dxa"/>
            <w:tcBorders>
              <w:top w:val="nil"/>
              <w:left w:val="nil"/>
              <w:bottom w:val="single" w:sz="4" w:space="0" w:color="auto"/>
              <w:right w:val="single" w:sz="4" w:space="0" w:color="auto"/>
            </w:tcBorders>
            <w:shd w:val="clear" w:color="auto" w:fill="auto"/>
            <w:noWrap/>
            <w:vAlign w:val="bottom"/>
            <w:hideMark/>
          </w:tcPr>
          <w:p w14:paraId="5433B995"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70</w:t>
            </w:r>
          </w:p>
        </w:tc>
        <w:tc>
          <w:tcPr>
            <w:tcW w:w="1753" w:type="dxa"/>
            <w:tcBorders>
              <w:top w:val="nil"/>
              <w:left w:val="nil"/>
              <w:bottom w:val="single" w:sz="4" w:space="0" w:color="auto"/>
              <w:right w:val="single" w:sz="4" w:space="0" w:color="auto"/>
            </w:tcBorders>
            <w:shd w:val="clear" w:color="auto" w:fill="auto"/>
            <w:noWrap/>
            <w:vAlign w:val="bottom"/>
            <w:hideMark/>
          </w:tcPr>
          <w:p w14:paraId="5F63599A"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81</w:t>
            </w:r>
          </w:p>
        </w:tc>
        <w:tc>
          <w:tcPr>
            <w:tcW w:w="1958" w:type="dxa"/>
            <w:tcBorders>
              <w:top w:val="nil"/>
              <w:left w:val="nil"/>
              <w:bottom w:val="single" w:sz="4" w:space="0" w:color="auto"/>
              <w:right w:val="single" w:sz="4" w:space="0" w:color="auto"/>
            </w:tcBorders>
            <w:shd w:val="clear" w:color="auto" w:fill="auto"/>
            <w:noWrap/>
            <w:vAlign w:val="bottom"/>
            <w:hideMark/>
          </w:tcPr>
          <w:p w14:paraId="017145EF"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58</w:t>
            </w:r>
          </w:p>
        </w:tc>
        <w:tc>
          <w:tcPr>
            <w:tcW w:w="1568" w:type="dxa"/>
            <w:tcBorders>
              <w:top w:val="nil"/>
              <w:left w:val="nil"/>
              <w:bottom w:val="single" w:sz="4" w:space="0" w:color="auto"/>
              <w:right w:val="single" w:sz="4" w:space="0" w:color="auto"/>
            </w:tcBorders>
            <w:shd w:val="clear" w:color="auto" w:fill="auto"/>
            <w:noWrap/>
            <w:vAlign w:val="bottom"/>
            <w:hideMark/>
          </w:tcPr>
          <w:p w14:paraId="7194A542"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2</w:t>
            </w:r>
          </w:p>
        </w:tc>
      </w:tr>
      <w:tr w:rsidR="003117E5" w:rsidRPr="0010128E" w14:paraId="514C4A15" w14:textId="77777777" w:rsidTr="003117E5">
        <w:trPr>
          <w:trHeight w:val="172"/>
        </w:trPr>
        <w:tc>
          <w:tcPr>
            <w:tcW w:w="185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5BC0C5A8" w14:textId="77777777" w:rsidR="006853E7" w:rsidRPr="0010128E" w:rsidRDefault="006853E7" w:rsidP="006853E7">
            <w:pPr>
              <w:rPr>
                <w:rFonts w:ascii="Times New Roman" w:eastAsia="Times New Roman" w:hAnsi="Times New Roman"/>
                <w:b/>
                <w:sz w:val="24"/>
              </w:rPr>
            </w:pPr>
            <w:r w:rsidRPr="0010128E">
              <w:rPr>
                <w:rFonts w:ascii="Times New Roman" w:eastAsia="Times New Roman" w:hAnsi="Times New Roman"/>
                <w:b/>
                <w:sz w:val="24"/>
              </w:rPr>
              <w:t>Private-for-profit</w:t>
            </w:r>
          </w:p>
        </w:tc>
        <w:tc>
          <w:tcPr>
            <w:tcW w:w="2344" w:type="dxa"/>
            <w:tcBorders>
              <w:top w:val="nil"/>
              <w:left w:val="nil"/>
              <w:bottom w:val="single" w:sz="4" w:space="0" w:color="auto"/>
              <w:right w:val="single" w:sz="4" w:space="0" w:color="auto"/>
            </w:tcBorders>
            <w:shd w:val="clear" w:color="auto" w:fill="auto"/>
            <w:noWrap/>
            <w:vAlign w:val="bottom"/>
            <w:hideMark/>
          </w:tcPr>
          <w:p w14:paraId="0D6B9553"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95</w:t>
            </w:r>
          </w:p>
        </w:tc>
        <w:tc>
          <w:tcPr>
            <w:tcW w:w="1753" w:type="dxa"/>
            <w:tcBorders>
              <w:top w:val="nil"/>
              <w:left w:val="nil"/>
              <w:bottom w:val="single" w:sz="4" w:space="0" w:color="auto"/>
              <w:right w:val="single" w:sz="4" w:space="0" w:color="auto"/>
            </w:tcBorders>
            <w:shd w:val="clear" w:color="auto" w:fill="auto"/>
            <w:noWrap/>
            <w:vAlign w:val="bottom"/>
            <w:hideMark/>
          </w:tcPr>
          <w:p w14:paraId="734C5C14"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71</w:t>
            </w:r>
          </w:p>
        </w:tc>
        <w:tc>
          <w:tcPr>
            <w:tcW w:w="1958" w:type="dxa"/>
            <w:tcBorders>
              <w:top w:val="nil"/>
              <w:left w:val="nil"/>
              <w:bottom w:val="single" w:sz="4" w:space="0" w:color="auto"/>
              <w:right w:val="single" w:sz="4" w:space="0" w:color="auto"/>
            </w:tcBorders>
            <w:shd w:val="clear" w:color="auto" w:fill="auto"/>
            <w:noWrap/>
            <w:vAlign w:val="bottom"/>
            <w:hideMark/>
          </w:tcPr>
          <w:p w14:paraId="53755DAE"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19</w:t>
            </w:r>
          </w:p>
        </w:tc>
        <w:tc>
          <w:tcPr>
            <w:tcW w:w="1568" w:type="dxa"/>
            <w:tcBorders>
              <w:top w:val="nil"/>
              <w:left w:val="nil"/>
              <w:bottom w:val="single" w:sz="4" w:space="0" w:color="auto"/>
              <w:right w:val="single" w:sz="4" w:space="0" w:color="auto"/>
            </w:tcBorders>
            <w:shd w:val="clear" w:color="auto" w:fill="auto"/>
            <w:noWrap/>
            <w:vAlign w:val="bottom"/>
            <w:hideMark/>
          </w:tcPr>
          <w:p w14:paraId="5897C423"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60</w:t>
            </w:r>
          </w:p>
        </w:tc>
      </w:tr>
      <w:tr w:rsidR="003117E5" w:rsidRPr="0010128E" w14:paraId="2A931D05" w14:textId="77777777" w:rsidTr="003117E5">
        <w:trPr>
          <w:trHeight w:val="172"/>
        </w:trPr>
        <w:tc>
          <w:tcPr>
            <w:tcW w:w="185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76C2D986" w14:textId="77777777" w:rsidR="006853E7" w:rsidRPr="0010128E" w:rsidRDefault="006853E7" w:rsidP="006853E7">
            <w:pPr>
              <w:rPr>
                <w:rFonts w:ascii="Times New Roman" w:eastAsia="Times New Roman" w:hAnsi="Times New Roman"/>
                <w:b/>
                <w:sz w:val="24"/>
              </w:rPr>
            </w:pPr>
            <w:r w:rsidRPr="0010128E">
              <w:rPr>
                <w:rFonts w:ascii="Times New Roman" w:eastAsia="Times New Roman" w:hAnsi="Times New Roman"/>
                <w:b/>
                <w:sz w:val="24"/>
              </w:rPr>
              <w:t>Faith-based</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2C1FD7FA"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99</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14:paraId="5CAD53AE"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77</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14:paraId="00702D74"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29</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6A8C7C8D" w14:textId="77777777" w:rsidR="006853E7" w:rsidRPr="0010128E" w:rsidRDefault="006853E7" w:rsidP="006853E7">
            <w:pPr>
              <w:jc w:val="right"/>
              <w:rPr>
                <w:rFonts w:ascii="Times New Roman" w:eastAsia="Times New Roman" w:hAnsi="Times New Roman"/>
                <w:sz w:val="24"/>
              </w:rPr>
            </w:pPr>
            <w:r w:rsidRPr="0010128E">
              <w:rPr>
                <w:rFonts w:ascii="Times New Roman" w:eastAsia="Times New Roman" w:hAnsi="Times New Roman"/>
                <w:sz w:val="24"/>
              </w:rPr>
              <w:t>33</w:t>
            </w:r>
          </w:p>
        </w:tc>
      </w:tr>
      <w:tr w:rsidR="003117E5" w:rsidRPr="0010128E" w14:paraId="1CBAE69E" w14:textId="77777777" w:rsidTr="003117E5">
        <w:trPr>
          <w:trHeight w:val="172"/>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14:paraId="68CD080E" w14:textId="77777777" w:rsidR="006853E7" w:rsidRPr="003117E5" w:rsidRDefault="006853E7" w:rsidP="006853E7">
            <w:pPr>
              <w:rPr>
                <w:rFonts w:ascii="Times New Roman" w:eastAsia="Times New Roman" w:hAnsi="Times New Roman"/>
                <w:sz w:val="20"/>
                <w:szCs w:val="20"/>
              </w:rPr>
            </w:pPr>
            <w:r w:rsidRPr="003117E5">
              <w:rPr>
                <w:rFonts w:ascii="Times New Roman" w:eastAsia="Times New Roman" w:hAnsi="Times New Roman"/>
                <w:sz w:val="20"/>
                <w:szCs w:val="20"/>
              </w:rPr>
              <w:t xml:space="preserve">*Among facilities charging user fees for adult curative care, percentage that use systems to decrease OOP fees for clients or to reimburse deferred client fees, and percentage that publicly post fees. </w:t>
            </w:r>
          </w:p>
        </w:tc>
      </w:tr>
    </w:tbl>
    <w:p w14:paraId="7E4AFF49" w14:textId="74AC9ECE" w:rsidR="006D118E" w:rsidRPr="0010128E" w:rsidRDefault="006D118E" w:rsidP="006D118E">
      <w:pPr>
        <w:rPr>
          <w:rFonts w:ascii="Times New Roman" w:hAnsi="Times New Roman"/>
          <w:sz w:val="20"/>
          <w:szCs w:val="20"/>
        </w:rPr>
      </w:pPr>
      <w:r w:rsidRPr="0010128E">
        <w:rPr>
          <w:rFonts w:ascii="Times New Roman" w:hAnsi="Times New Roman"/>
          <w:sz w:val="20"/>
          <w:szCs w:val="20"/>
        </w:rPr>
        <w:t xml:space="preserve">Table Note: 70% of all government facilities </w:t>
      </w:r>
      <w:r w:rsidR="0094787C" w:rsidRPr="0010128E">
        <w:rPr>
          <w:rFonts w:ascii="Times New Roman" w:hAnsi="Times New Roman"/>
          <w:sz w:val="20"/>
          <w:szCs w:val="20"/>
        </w:rPr>
        <w:t>charge any routine user fee for adult curative care</w:t>
      </w:r>
    </w:p>
    <w:p w14:paraId="1E3095AC" w14:textId="0CD4A0D5" w:rsidR="006D118E" w:rsidRPr="0010128E" w:rsidRDefault="006D118E" w:rsidP="006D118E">
      <w:pPr>
        <w:rPr>
          <w:rFonts w:ascii="Times New Roman" w:hAnsi="Times New Roman"/>
          <w:sz w:val="20"/>
          <w:szCs w:val="20"/>
        </w:rPr>
        <w:sectPr w:rsidR="006D118E" w:rsidRPr="0010128E" w:rsidSect="00744110">
          <w:pgSz w:w="12240" w:h="15840"/>
          <w:pgMar w:top="1440" w:right="1440" w:bottom="1440" w:left="1440" w:header="720" w:footer="720" w:gutter="0"/>
          <w:cols w:space="720"/>
          <w:docGrid w:linePitch="360"/>
        </w:sectPr>
      </w:pPr>
      <w:r w:rsidRPr="0010128E">
        <w:rPr>
          <w:rFonts w:ascii="Times New Roman" w:hAnsi="Times New Roman"/>
          <w:sz w:val="20"/>
          <w:szCs w:val="20"/>
        </w:rPr>
        <w:t>Source: National Bureau of Statistics [Tanzania] and</w:t>
      </w:r>
      <w:r w:rsidR="004F65A8">
        <w:rPr>
          <w:rFonts w:ascii="Times New Roman" w:hAnsi="Times New Roman"/>
          <w:sz w:val="20"/>
          <w:szCs w:val="20"/>
        </w:rPr>
        <w:t xml:space="preserve"> Macro International Inc. (2007</w:t>
      </w:r>
    </w:p>
    <w:p w14:paraId="70B489DC" w14:textId="77777777" w:rsidR="00977772" w:rsidRPr="0010128E" w:rsidRDefault="00977772" w:rsidP="00B6243B">
      <w:pPr>
        <w:spacing w:line="480" w:lineRule="auto"/>
        <w:ind w:firstLine="720"/>
        <w:rPr>
          <w:rFonts w:ascii="Times New Roman" w:hAnsi="Times New Roman"/>
          <w:sz w:val="24"/>
        </w:rPr>
      </w:pPr>
      <w:r w:rsidRPr="0010128E">
        <w:rPr>
          <w:rFonts w:ascii="Times New Roman" w:hAnsi="Times New Roman"/>
          <w:sz w:val="24"/>
        </w:rPr>
        <w:t xml:space="preserve">While </w:t>
      </w:r>
      <w:r w:rsidR="00E86444" w:rsidRPr="0010128E">
        <w:rPr>
          <w:rFonts w:ascii="Times New Roman" w:hAnsi="Times New Roman"/>
          <w:sz w:val="24"/>
        </w:rPr>
        <w:t>user fee exemptions and waivers are</w:t>
      </w:r>
      <w:r w:rsidRPr="0010128E">
        <w:rPr>
          <w:rFonts w:ascii="Times New Roman" w:hAnsi="Times New Roman"/>
          <w:sz w:val="24"/>
        </w:rPr>
        <w:t xml:space="preserve"> a step towards improv</w:t>
      </w:r>
      <w:r w:rsidR="00E86444" w:rsidRPr="0010128E">
        <w:rPr>
          <w:rFonts w:ascii="Times New Roman" w:hAnsi="Times New Roman"/>
          <w:sz w:val="24"/>
        </w:rPr>
        <w:t>ed financial equity, research suggests that users still end up paying for services through unofficial provider payments (Kruk, Mbaruku, Rockers &amp; Galea, 2008; Maestada and Mwisongob, 2011). Kruk et al. (2008)</w:t>
      </w:r>
      <w:r w:rsidRPr="0010128E">
        <w:rPr>
          <w:rFonts w:ascii="Times New Roman" w:hAnsi="Times New Roman"/>
          <w:sz w:val="24"/>
        </w:rPr>
        <w:t xml:space="preserve"> found</w:t>
      </w:r>
      <w:r w:rsidR="00E86444" w:rsidRPr="0010128E">
        <w:rPr>
          <w:rFonts w:ascii="Times New Roman" w:hAnsi="Times New Roman"/>
          <w:sz w:val="24"/>
        </w:rPr>
        <w:t xml:space="preserve"> that</w:t>
      </w:r>
      <w:r w:rsidRPr="0010128E">
        <w:rPr>
          <w:rFonts w:ascii="Times New Roman" w:hAnsi="Times New Roman"/>
          <w:sz w:val="24"/>
        </w:rPr>
        <w:t xml:space="preserve"> three-quarters of women still end up paying for delivery services regardless of the exemption</w:t>
      </w:r>
      <w:r w:rsidR="00E86444" w:rsidRPr="0010128E">
        <w:rPr>
          <w:rFonts w:ascii="Times New Roman" w:hAnsi="Times New Roman"/>
          <w:sz w:val="24"/>
        </w:rPr>
        <w:t xml:space="preserve">. </w:t>
      </w:r>
      <w:r w:rsidRPr="0010128E">
        <w:rPr>
          <w:rFonts w:ascii="Times New Roman" w:hAnsi="Times New Roman"/>
          <w:sz w:val="24"/>
        </w:rPr>
        <w:t xml:space="preserve">In their study, </w:t>
      </w:r>
      <w:r w:rsidR="00E86444" w:rsidRPr="0010128E">
        <w:rPr>
          <w:rFonts w:ascii="Times New Roman" w:hAnsi="Times New Roman"/>
          <w:sz w:val="24"/>
        </w:rPr>
        <w:t>they also</w:t>
      </w:r>
      <w:r w:rsidRPr="0010128E">
        <w:rPr>
          <w:rFonts w:ascii="Times New Roman" w:hAnsi="Times New Roman"/>
          <w:sz w:val="24"/>
        </w:rPr>
        <w:t xml:space="preserve"> found that out-of-pocket payments for facility delivery were substantial, often driven by high transportation costs, unofficial provider payments, and preference for mission facilities, which levy user charges (Kruk et al., 2008).</w:t>
      </w:r>
    </w:p>
    <w:p w14:paraId="5919A2C0" w14:textId="77777777" w:rsidR="006E63D7" w:rsidRPr="0010128E" w:rsidRDefault="00E86444" w:rsidP="006E63D7">
      <w:pPr>
        <w:spacing w:line="480" w:lineRule="auto"/>
        <w:ind w:firstLine="720"/>
        <w:rPr>
          <w:rFonts w:ascii="Times New Roman" w:hAnsi="Times New Roman"/>
          <w:sz w:val="24"/>
        </w:rPr>
      </w:pPr>
      <w:r w:rsidRPr="0010128E">
        <w:rPr>
          <w:rFonts w:ascii="Times New Roman" w:hAnsi="Times New Roman"/>
          <w:sz w:val="24"/>
        </w:rPr>
        <w:t>These u</w:t>
      </w:r>
      <w:r w:rsidR="00993DD8" w:rsidRPr="0010128E">
        <w:rPr>
          <w:rFonts w:ascii="Times New Roman" w:hAnsi="Times New Roman"/>
          <w:sz w:val="24"/>
        </w:rPr>
        <w:t>nofficial provider payments are found via informal payments or “tips” to health providers where patients pay their providers for seemingly “free” services. In their study, Maestada and Mwisongob (2011) found that health workers at all levels receive informal payments in a number of different contexts. While health workers sometimes share the payments received, it is only partially. They suggest that health workers are involved in ‘rent-seeking’ activities, such as creating artificial shortages and deliberately lowering the quality of service, in order to extract extra payments from patients or to bargain for a higher share of the payments received by their colleagues (Maestada &amp; Mwisongob, 2011). As a result, the distributions of informal payments are unfair and negatively affect those already in poverty. Maestada and Mwisongob (2011) also found that informal payments negatively impact the quality of health care through rent-seeking behaviors and through frustrations created by the unfair allocation of payments.</w:t>
      </w:r>
      <w:r w:rsidR="00B147C4" w:rsidRPr="0010128E">
        <w:rPr>
          <w:rFonts w:ascii="Times New Roman" w:hAnsi="Times New Roman"/>
          <w:sz w:val="24"/>
        </w:rPr>
        <w:t xml:space="preserve"> </w:t>
      </w:r>
    </w:p>
    <w:p w14:paraId="47858AD3" w14:textId="77777777" w:rsidR="006E63D7" w:rsidRPr="0010128E" w:rsidRDefault="006E63D7" w:rsidP="006E63D7">
      <w:pPr>
        <w:spacing w:line="480" w:lineRule="auto"/>
        <w:ind w:firstLine="720"/>
        <w:rPr>
          <w:rFonts w:ascii="Times New Roman" w:hAnsi="Times New Roman"/>
          <w:sz w:val="24"/>
        </w:rPr>
      </w:pPr>
      <w:r w:rsidRPr="0010128E">
        <w:rPr>
          <w:rFonts w:ascii="Times New Roman" w:hAnsi="Times New Roman"/>
          <w:sz w:val="24"/>
        </w:rPr>
        <w:t xml:space="preserve">The need for additional research on unofficial payments at health facilities remains, as does the need for improved transparency in user fees </w:t>
      </w:r>
      <w:r w:rsidR="00AE4ABF" w:rsidRPr="0010128E">
        <w:rPr>
          <w:rFonts w:ascii="Times New Roman" w:hAnsi="Times New Roman"/>
          <w:noProof/>
          <w:sz w:val="24"/>
        </w:rPr>
        <w:t>(Health Research for Action, 2006)</w:t>
      </w:r>
      <w:r w:rsidRPr="0010128E">
        <w:rPr>
          <w:rFonts w:ascii="Times New Roman" w:hAnsi="Times New Roman"/>
          <w:sz w:val="24"/>
        </w:rPr>
        <w:t xml:space="preserve">. Government-run health facilities do not typically have prices and fees visible, nor are they required to show which services are exempt. </w:t>
      </w:r>
      <w:r w:rsidR="007B5E18" w:rsidRPr="0010128E">
        <w:rPr>
          <w:rFonts w:ascii="Times New Roman" w:hAnsi="Times New Roman"/>
          <w:sz w:val="24"/>
        </w:rPr>
        <w:t xml:space="preserve">Consequently, this shows the </w:t>
      </w:r>
      <w:r w:rsidR="00182F58" w:rsidRPr="0010128E">
        <w:rPr>
          <w:rFonts w:ascii="Times New Roman" w:hAnsi="Times New Roman"/>
          <w:sz w:val="24"/>
        </w:rPr>
        <w:t>necessity</w:t>
      </w:r>
      <w:r w:rsidR="007B5E18" w:rsidRPr="0010128E">
        <w:rPr>
          <w:rFonts w:ascii="Times New Roman" w:hAnsi="Times New Roman"/>
          <w:sz w:val="24"/>
        </w:rPr>
        <w:t xml:space="preserve"> for improved regulation and administration of user fee exemptions and waivers even with the policy in place.</w:t>
      </w:r>
    </w:p>
    <w:p w14:paraId="692B89C8" w14:textId="6C9333EB" w:rsidR="00F5795F" w:rsidRPr="0010128E" w:rsidRDefault="00F5795F" w:rsidP="001E1DD7">
      <w:pPr>
        <w:pStyle w:val="Heading3"/>
        <w:spacing w:line="480" w:lineRule="auto"/>
        <w:rPr>
          <w:rFonts w:ascii="Times New Roman" w:hAnsi="Times New Roman"/>
        </w:rPr>
      </w:pPr>
      <w:bookmarkStart w:id="18" w:name="_Toc206320785"/>
      <w:r w:rsidRPr="0010128E">
        <w:rPr>
          <w:rFonts w:ascii="Times New Roman" w:hAnsi="Times New Roman"/>
        </w:rPr>
        <w:t>Service Provision—</w:t>
      </w:r>
      <w:r w:rsidR="003F1B3D" w:rsidRPr="0010128E">
        <w:rPr>
          <w:rFonts w:ascii="Times New Roman" w:hAnsi="Times New Roman"/>
        </w:rPr>
        <w:t>Public-Private Partnerships</w:t>
      </w:r>
      <w:bookmarkEnd w:id="18"/>
    </w:p>
    <w:p w14:paraId="4651A249" w14:textId="1EB91513" w:rsidR="00964B7C" w:rsidRPr="0010128E" w:rsidRDefault="00964B7C" w:rsidP="00744110">
      <w:pPr>
        <w:spacing w:line="480" w:lineRule="auto"/>
        <w:ind w:firstLine="560"/>
        <w:rPr>
          <w:rFonts w:ascii="Times New Roman" w:hAnsi="Times New Roman"/>
          <w:sz w:val="24"/>
        </w:rPr>
      </w:pPr>
      <w:r w:rsidRPr="0010128E">
        <w:rPr>
          <w:rFonts w:ascii="Times New Roman" w:hAnsi="Times New Roman"/>
          <w:sz w:val="24"/>
        </w:rPr>
        <w:t>The Prime Minister’s Office identifies the primary actors in the Tanzanian health care system as the government, the private sector, and non-state actors. These actors play vital roles</w:t>
      </w:r>
      <w:r w:rsidR="00D84AC0" w:rsidRPr="0010128E">
        <w:rPr>
          <w:rFonts w:ascii="Times New Roman" w:hAnsi="Times New Roman"/>
          <w:sz w:val="24"/>
        </w:rPr>
        <w:t xml:space="preserve"> in public-private partnerships (PPPs),</w:t>
      </w:r>
      <w:r w:rsidRPr="0010128E">
        <w:rPr>
          <w:rFonts w:ascii="Times New Roman" w:hAnsi="Times New Roman"/>
          <w:sz w:val="24"/>
        </w:rPr>
        <w:t xml:space="preserve"> </w:t>
      </w:r>
      <w:r w:rsidR="00D84AC0" w:rsidRPr="0010128E">
        <w:rPr>
          <w:rFonts w:ascii="Times New Roman" w:hAnsi="Times New Roman"/>
          <w:sz w:val="24"/>
        </w:rPr>
        <w:t xml:space="preserve">and </w:t>
      </w:r>
      <w:r w:rsidRPr="0010128E">
        <w:rPr>
          <w:rFonts w:ascii="Times New Roman" w:hAnsi="Times New Roman"/>
          <w:sz w:val="24"/>
        </w:rPr>
        <w:t>are identified below:</w:t>
      </w:r>
    </w:p>
    <w:p w14:paraId="44CBA230" w14:textId="77777777" w:rsidR="00964B7C" w:rsidRPr="0010128E" w:rsidRDefault="00964B7C" w:rsidP="00964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b/>
          <w:bCs/>
          <w:sz w:val="24"/>
        </w:rPr>
      </w:pPr>
      <w:r w:rsidRPr="0010128E">
        <w:rPr>
          <w:rFonts w:ascii="Times New Roman" w:hAnsi="Times New Roman"/>
          <w:b/>
          <w:bCs/>
          <w:sz w:val="24"/>
        </w:rPr>
        <w:t>(a) The Government</w:t>
      </w:r>
    </w:p>
    <w:p w14:paraId="5319D2D8" w14:textId="16464863" w:rsidR="00964B7C" w:rsidRPr="0010128E" w:rsidRDefault="00964B7C" w:rsidP="00964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sz w:val="24"/>
        </w:rPr>
      </w:pPr>
      <w:r w:rsidRPr="0010128E">
        <w:rPr>
          <w:rFonts w:ascii="Times New Roman" w:hAnsi="Times New Roman"/>
          <w:sz w:val="24"/>
        </w:rPr>
        <w:t xml:space="preserve">Will facilitate implementation of the PPPs by putting in place </w:t>
      </w:r>
      <w:r w:rsidR="009C5EF9">
        <w:rPr>
          <w:rFonts w:ascii="Times New Roman" w:hAnsi="Times New Roman"/>
          <w:sz w:val="24"/>
        </w:rPr>
        <w:t xml:space="preserve">the </w:t>
      </w:r>
      <w:r w:rsidRPr="0010128E">
        <w:rPr>
          <w:rFonts w:ascii="Times New Roman" w:hAnsi="Times New Roman"/>
          <w:sz w:val="24"/>
        </w:rPr>
        <w:t>appropriate enabling environment. This includes favorable policies, implementation strategy, legal and institutional framework.</w:t>
      </w:r>
    </w:p>
    <w:p w14:paraId="20BA8648" w14:textId="77777777" w:rsidR="00964B7C" w:rsidRPr="0010128E" w:rsidRDefault="00964B7C" w:rsidP="00964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b/>
          <w:bCs/>
          <w:sz w:val="24"/>
        </w:rPr>
      </w:pPr>
      <w:r w:rsidRPr="0010128E">
        <w:rPr>
          <w:rFonts w:ascii="Times New Roman" w:hAnsi="Times New Roman"/>
          <w:b/>
          <w:bCs/>
          <w:sz w:val="24"/>
        </w:rPr>
        <w:t>(b) The Private Sector</w:t>
      </w:r>
    </w:p>
    <w:p w14:paraId="2EBE3B85" w14:textId="77777777" w:rsidR="00964B7C" w:rsidRPr="0010128E" w:rsidRDefault="00964B7C" w:rsidP="00964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sz w:val="24"/>
        </w:rPr>
      </w:pPr>
      <w:r w:rsidRPr="0010128E">
        <w:rPr>
          <w:rFonts w:ascii="Times New Roman" w:hAnsi="Times New Roman"/>
          <w:sz w:val="24"/>
        </w:rPr>
        <w:t>The Private Sector will take the leading role in identifying and implementing PPPs including carrying out of feasibility studies, mobilizing resources, risk sharing, monitoring and evaluation, and providing technical expertise and managerial skills.</w:t>
      </w:r>
    </w:p>
    <w:p w14:paraId="52FE1C1B" w14:textId="77777777" w:rsidR="00964B7C" w:rsidRPr="0010128E" w:rsidRDefault="00964B7C" w:rsidP="00964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b/>
          <w:bCs/>
          <w:sz w:val="24"/>
        </w:rPr>
      </w:pPr>
      <w:r w:rsidRPr="0010128E">
        <w:rPr>
          <w:rFonts w:ascii="Times New Roman" w:hAnsi="Times New Roman"/>
          <w:b/>
          <w:bCs/>
          <w:sz w:val="24"/>
        </w:rPr>
        <w:t>(c) Non-State Actors</w:t>
      </w:r>
    </w:p>
    <w:p w14:paraId="513972A9" w14:textId="0717BCF3" w:rsidR="00086C94" w:rsidRDefault="00964B7C" w:rsidP="00B6243B">
      <w:pPr>
        <w:spacing w:line="480" w:lineRule="auto"/>
        <w:ind w:left="560"/>
        <w:rPr>
          <w:rFonts w:ascii="Times New Roman" w:hAnsi="Times New Roman"/>
          <w:i/>
          <w:sz w:val="24"/>
        </w:rPr>
      </w:pPr>
      <w:r w:rsidRPr="0010128E">
        <w:rPr>
          <w:rFonts w:ascii="Times New Roman" w:hAnsi="Times New Roman"/>
          <w:sz w:val="24"/>
        </w:rPr>
        <w:t xml:space="preserve">Other stakeholders include financial institutions, academic institutions, </w:t>
      </w:r>
      <w:r w:rsidR="006376F9">
        <w:rPr>
          <w:rFonts w:ascii="Times New Roman" w:hAnsi="Times New Roman"/>
          <w:sz w:val="24"/>
        </w:rPr>
        <w:t>NGOs</w:t>
      </w:r>
      <w:r w:rsidRPr="0010128E">
        <w:rPr>
          <w:rFonts w:ascii="Times New Roman" w:hAnsi="Times New Roman"/>
          <w:sz w:val="24"/>
        </w:rPr>
        <w:t>, FBOs, employees, trade unions, environmentalists, political leaders, community groups, sector interest groups and public in general. This category is expected to support the implementation of PPPs through monitoring and evaluation, dissemination of information in order to create an understanding the nature and benefits of PPPs in their areas of interest.</w:t>
      </w:r>
    </w:p>
    <w:p w14:paraId="2615BE25" w14:textId="77777777" w:rsidR="003117E5" w:rsidRDefault="00EB3793" w:rsidP="00086C94">
      <w:pPr>
        <w:spacing w:line="480" w:lineRule="auto"/>
        <w:rPr>
          <w:rFonts w:ascii="Times New Roman" w:hAnsi="Times New Roman"/>
          <w:i/>
          <w:sz w:val="24"/>
        </w:rPr>
      </w:pPr>
      <w:r w:rsidRPr="0010128E">
        <w:rPr>
          <w:rFonts w:ascii="Times New Roman" w:hAnsi="Times New Roman"/>
          <w:i/>
          <w:sz w:val="24"/>
        </w:rPr>
        <w:t xml:space="preserve">PPP </w:t>
      </w:r>
      <w:r w:rsidR="003F1B3D" w:rsidRPr="0010128E">
        <w:rPr>
          <w:rFonts w:ascii="Times New Roman" w:hAnsi="Times New Roman"/>
          <w:i/>
          <w:sz w:val="24"/>
        </w:rPr>
        <w:t>History</w:t>
      </w:r>
    </w:p>
    <w:p w14:paraId="3F96762F" w14:textId="2B2C69DC" w:rsidR="00D00E56" w:rsidRPr="003117E5" w:rsidRDefault="00D00E56" w:rsidP="00086C94">
      <w:pPr>
        <w:spacing w:line="480" w:lineRule="auto"/>
        <w:ind w:firstLine="720"/>
        <w:rPr>
          <w:rFonts w:ascii="Times New Roman" w:hAnsi="Times New Roman"/>
          <w:i/>
          <w:sz w:val="24"/>
        </w:rPr>
      </w:pPr>
      <w:r w:rsidRPr="0010128E">
        <w:rPr>
          <w:rFonts w:ascii="Times New Roman" w:hAnsi="Times New Roman"/>
          <w:sz w:val="24"/>
        </w:rPr>
        <w:t xml:space="preserve">Prior to the 1980s, church-based health care was largely provided separately from the State sector </w:t>
      </w:r>
      <w:r w:rsidR="00AE4ABF" w:rsidRPr="0010128E">
        <w:rPr>
          <w:rFonts w:ascii="Times New Roman" w:hAnsi="Times New Roman"/>
          <w:noProof/>
          <w:sz w:val="24"/>
        </w:rPr>
        <w:t>(Green, Shaw, Dimmock, &amp; Conn, 2002)</w:t>
      </w:r>
      <w:r w:rsidRPr="0010128E">
        <w:rPr>
          <w:rFonts w:ascii="Times New Roman" w:hAnsi="Times New Roman"/>
          <w:sz w:val="24"/>
        </w:rPr>
        <w:t xml:space="preserve">. It was after the Alma Alta Declaration in 1978 that multisectoralism and collaboration was stressed as part of a broader concept of health. What has resulted is a formalized service agreement between FBOs and the government in many African countries </w:t>
      </w:r>
      <w:r w:rsidR="00AE4ABF" w:rsidRPr="0010128E">
        <w:rPr>
          <w:rFonts w:ascii="Times New Roman" w:hAnsi="Times New Roman"/>
          <w:noProof/>
          <w:sz w:val="24"/>
        </w:rPr>
        <w:t>(Green, Shaw, Dimmock, &amp; Conn, 2002)</w:t>
      </w:r>
      <w:r w:rsidRPr="0010128E">
        <w:rPr>
          <w:rFonts w:ascii="Times New Roman" w:hAnsi="Times New Roman"/>
          <w:sz w:val="24"/>
        </w:rPr>
        <w:t xml:space="preserve">. </w:t>
      </w:r>
    </w:p>
    <w:p w14:paraId="0A40BA26" w14:textId="77777777" w:rsidR="00D00E56" w:rsidRPr="0010128E" w:rsidRDefault="004809A8" w:rsidP="003117E5">
      <w:pPr>
        <w:spacing w:line="480" w:lineRule="auto"/>
        <w:ind w:firstLine="720"/>
        <w:rPr>
          <w:rFonts w:ascii="Times New Roman" w:hAnsi="Times New Roman"/>
          <w:sz w:val="24"/>
        </w:rPr>
      </w:pPr>
      <w:r w:rsidRPr="0010128E">
        <w:rPr>
          <w:rFonts w:ascii="Times New Roman" w:hAnsi="Times New Roman"/>
          <w:sz w:val="24"/>
        </w:rPr>
        <w:t>During the 1990s</w:t>
      </w:r>
      <w:r w:rsidR="00D00E56" w:rsidRPr="0010128E">
        <w:rPr>
          <w:rFonts w:ascii="Times New Roman" w:hAnsi="Times New Roman"/>
          <w:sz w:val="24"/>
        </w:rPr>
        <w:t xml:space="preserve">, </w:t>
      </w:r>
      <w:r w:rsidRPr="0010128E">
        <w:rPr>
          <w:rFonts w:ascii="Times New Roman" w:hAnsi="Times New Roman"/>
          <w:sz w:val="24"/>
        </w:rPr>
        <w:t xml:space="preserve">the </w:t>
      </w:r>
      <w:r w:rsidR="00D00E56" w:rsidRPr="0010128E">
        <w:rPr>
          <w:rFonts w:ascii="Times New Roman" w:hAnsi="Times New Roman"/>
          <w:sz w:val="24"/>
        </w:rPr>
        <w:t xml:space="preserve">government recognized the need to partner with FBOs and the private sector to “achieve greater efficiency and responsiveness to the public’s needs” </w:t>
      </w:r>
      <w:r w:rsidR="00AE4ABF" w:rsidRPr="0010128E">
        <w:rPr>
          <w:rFonts w:ascii="Times New Roman" w:hAnsi="Times New Roman"/>
          <w:noProof/>
          <w:sz w:val="24"/>
        </w:rPr>
        <w:t>(Lipsky, 2011)</w:t>
      </w:r>
      <w:r w:rsidR="00D00E56" w:rsidRPr="0010128E">
        <w:rPr>
          <w:rFonts w:ascii="Times New Roman" w:hAnsi="Times New Roman"/>
          <w:sz w:val="24"/>
        </w:rPr>
        <w:t>. As Green et al. (2002) note, greater collaboration between FBOs and the government presents a unified policy front. By engaging NGOs in policy planning, relationships and partnerships are strengthened versus the government taking a narrow public service focus. To ensure collaboration, dialogue must occur between government and FBOs about roles and relationships. Additionally, there is a need for support on the part of MOHSW support and willingness by FBOs to fully support national health plans and policies.</w:t>
      </w:r>
    </w:p>
    <w:p w14:paraId="70320BCF" w14:textId="77777777" w:rsidR="00904AE5" w:rsidRPr="0010128E" w:rsidRDefault="00904AE5" w:rsidP="00D00E56">
      <w:pPr>
        <w:spacing w:line="480" w:lineRule="auto"/>
        <w:ind w:firstLine="720"/>
        <w:rPr>
          <w:rFonts w:ascii="Times New Roman" w:hAnsi="Times New Roman"/>
          <w:sz w:val="24"/>
        </w:rPr>
      </w:pPr>
      <w:r w:rsidRPr="0010128E">
        <w:rPr>
          <w:rFonts w:ascii="Times New Roman" w:hAnsi="Times New Roman"/>
          <w:sz w:val="24"/>
        </w:rPr>
        <w:t>Prior to policy legislating the use of PPPs, public-private arrangements were implemented through existing laws such as the Public Corporation Act of 1992 and through the mandate emanating from structural reform policies that occurred in the 1990s. One of the National Poverty Reduction objectives occurs through the creation and delivery of competitive and sustainable PPPs.</w:t>
      </w:r>
    </w:p>
    <w:p w14:paraId="26BBED44" w14:textId="1A524EDF" w:rsidR="0025205A" w:rsidRPr="0010128E" w:rsidRDefault="0025205A" w:rsidP="00252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sz w:val="24"/>
        </w:rPr>
      </w:pPr>
      <w:r w:rsidRPr="0010128E">
        <w:rPr>
          <w:rFonts w:ascii="Times New Roman" w:hAnsi="Times New Roman"/>
          <w:sz w:val="24"/>
        </w:rPr>
        <w:tab/>
      </w:r>
      <w:r w:rsidR="001039E5" w:rsidRPr="0010128E">
        <w:rPr>
          <w:rFonts w:ascii="Times New Roman" w:hAnsi="Times New Roman"/>
          <w:sz w:val="24"/>
        </w:rPr>
        <w:t>According to the Vision 2025 implemented in 200</w:t>
      </w:r>
      <w:r w:rsidR="001039E5">
        <w:rPr>
          <w:rFonts w:ascii="Times New Roman" w:hAnsi="Times New Roman"/>
          <w:sz w:val="24"/>
        </w:rPr>
        <w:t>0</w:t>
      </w:r>
      <w:r w:rsidR="001039E5" w:rsidRPr="0010128E">
        <w:rPr>
          <w:rFonts w:ascii="Times New Roman" w:hAnsi="Times New Roman"/>
          <w:sz w:val="24"/>
        </w:rPr>
        <w:t xml:space="preserve">, the government is to support and encourage multi-actor participation in economic growth through investments in the private sector (i.e. infrastructure and service development) </w:t>
      </w:r>
      <w:r w:rsidR="001039E5" w:rsidRPr="0010128E">
        <w:rPr>
          <w:rFonts w:ascii="Times New Roman" w:hAnsi="Times New Roman"/>
          <w:noProof/>
          <w:sz w:val="24"/>
        </w:rPr>
        <w:t>(Prime Minister's Office, 2009)</w:t>
      </w:r>
      <w:r w:rsidR="001039E5" w:rsidRPr="0010128E">
        <w:rPr>
          <w:rFonts w:ascii="Times New Roman" w:hAnsi="Times New Roman"/>
          <w:sz w:val="24"/>
        </w:rPr>
        <w:t>. PPPs were identified as an effective way to achieve this. According to the Prime Minister’s Office, PPPs are an effective alternate source of financing, management and maintenance of public sector projects, including health services. PPPs also allow the Government to streamline responsibilities in providing social services, effectively enhancing efficiency, accountability, quality of service and wide outreach</w:t>
      </w:r>
      <w:r w:rsidR="001039E5" w:rsidRPr="0010128E">
        <w:rPr>
          <w:rFonts w:ascii="Times New Roman" w:hAnsi="Times New Roman"/>
          <w:noProof/>
          <w:sz w:val="24"/>
        </w:rPr>
        <w:t xml:space="preserve"> (Prime Minister's Office, 2009)</w:t>
      </w:r>
      <w:r w:rsidR="001039E5" w:rsidRPr="0010128E">
        <w:rPr>
          <w:rFonts w:ascii="Times New Roman" w:hAnsi="Times New Roman"/>
          <w:sz w:val="24"/>
        </w:rPr>
        <w:t>.</w:t>
      </w:r>
    </w:p>
    <w:p w14:paraId="6BFA4E31" w14:textId="77777777" w:rsidR="00B6243B" w:rsidRDefault="0025205A" w:rsidP="00B6243B">
      <w:pPr>
        <w:spacing w:line="480" w:lineRule="auto"/>
        <w:ind w:firstLine="720"/>
        <w:rPr>
          <w:rFonts w:ascii="Times New Roman" w:hAnsi="Times New Roman"/>
          <w:sz w:val="24"/>
        </w:rPr>
      </w:pPr>
      <w:r w:rsidRPr="0010128E">
        <w:rPr>
          <w:rFonts w:ascii="Times New Roman" w:hAnsi="Times New Roman"/>
          <w:sz w:val="24"/>
        </w:rPr>
        <w:t>The National Health Policy of 2007 recognized the contribution of the private sector in health service provision. Out of this, stemmed the objective to increase participation of the private sector in achieving access to health services at all levels. The PPP steering committee was established to propose a regulatory policy, dictating the involvement and cooperation of providers to ensure that capacities in private institutions are used to improve the health of the people. The PPP steering committee identified two major umbrella organizations in the private sector (previously identified above): the CSSC, representing a large number of Faith Based Organization, and the APHFTA, representing a smaller number of private hospitals and clinics, mainly based in urban areas. The Ministry, acting as the policy broker, was established to chair the PPP steering committee, collaborating with representatives from the private sector. At the time, it was decided that the service agreements would regulate collaboration between service providers and Councils and that further strengthening of the PPP forums at district level would remain a focus.</w:t>
      </w:r>
    </w:p>
    <w:p w14:paraId="62A89275" w14:textId="7C96944D" w:rsidR="001039E5" w:rsidRPr="0010128E" w:rsidRDefault="001039E5" w:rsidP="00B6243B">
      <w:pPr>
        <w:spacing w:line="480" w:lineRule="auto"/>
        <w:ind w:firstLine="720"/>
        <w:rPr>
          <w:rFonts w:ascii="Times New Roman" w:hAnsi="Times New Roman"/>
          <w:sz w:val="24"/>
        </w:rPr>
      </w:pPr>
      <w:r w:rsidRPr="0010128E">
        <w:rPr>
          <w:rFonts w:ascii="Times New Roman" w:hAnsi="Times New Roman"/>
          <w:sz w:val="24"/>
        </w:rPr>
        <w:t>At the end of 2007, the MOHSW, the</w:t>
      </w:r>
      <w:r>
        <w:rPr>
          <w:rFonts w:ascii="Times New Roman" w:hAnsi="Times New Roman"/>
          <w:sz w:val="24"/>
        </w:rPr>
        <w:t xml:space="preserve"> CSSC</w:t>
      </w:r>
      <w:r w:rsidRPr="0010128E">
        <w:rPr>
          <w:rFonts w:ascii="Times New Roman" w:hAnsi="Times New Roman"/>
          <w:sz w:val="24"/>
        </w:rPr>
        <w:t xml:space="preserve">, the </w:t>
      </w:r>
      <w:r>
        <w:rPr>
          <w:rFonts w:ascii="Times New Roman" w:hAnsi="Times New Roman"/>
          <w:sz w:val="24"/>
        </w:rPr>
        <w:t>APHFTA</w:t>
      </w:r>
      <w:r w:rsidRPr="0010128E">
        <w:rPr>
          <w:rFonts w:ascii="Times New Roman" w:hAnsi="Times New Roman"/>
          <w:sz w:val="24"/>
        </w:rPr>
        <w:t xml:space="preserve">, and several other organizations finalized the national template for the Service Agreement between the government and service providers. These Service Agreements allow non-governmental facilities (both private-for-profit and private-not-for-profit) to access public financing, in a type of performance-based financing </w:t>
      </w:r>
      <w:r w:rsidRPr="0010128E">
        <w:rPr>
          <w:rFonts w:ascii="Times New Roman" w:hAnsi="Times New Roman"/>
          <w:noProof/>
          <w:sz w:val="24"/>
        </w:rPr>
        <w:t>(Adjei, et al., 2009)</w:t>
      </w:r>
      <w:r w:rsidRPr="0010128E">
        <w:rPr>
          <w:rFonts w:ascii="Times New Roman" w:hAnsi="Times New Roman"/>
          <w:sz w:val="24"/>
        </w:rPr>
        <w:t>.  These contracts indicate certain outputs to be achieved (e.g. number of pregnant mothers or children under five being served years; essential drugs provision; number of trainees).</w:t>
      </w:r>
    </w:p>
    <w:p w14:paraId="37C43A65" w14:textId="77777777" w:rsidR="00B6243B" w:rsidRDefault="00B6243B" w:rsidP="00B6243B">
      <w:pPr>
        <w:spacing w:line="480" w:lineRule="auto"/>
        <w:rPr>
          <w:rFonts w:ascii="Times New Roman" w:hAnsi="Times New Roman"/>
          <w:i/>
          <w:sz w:val="24"/>
        </w:rPr>
      </w:pPr>
    </w:p>
    <w:p w14:paraId="7E01083C" w14:textId="77777777" w:rsidR="00B6243B" w:rsidRDefault="00B6243B" w:rsidP="00B6243B">
      <w:pPr>
        <w:spacing w:line="480" w:lineRule="auto"/>
        <w:rPr>
          <w:rFonts w:ascii="Times New Roman" w:hAnsi="Times New Roman"/>
          <w:i/>
          <w:sz w:val="24"/>
        </w:rPr>
      </w:pPr>
    </w:p>
    <w:p w14:paraId="06CA1042" w14:textId="77777777" w:rsidR="00B6243B" w:rsidRDefault="0025205A" w:rsidP="00B6243B">
      <w:pPr>
        <w:spacing w:line="480" w:lineRule="auto"/>
        <w:rPr>
          <w:rFonts w:ascii="Times New Roman" w:hAnsi="Times New Roman"/>
          <w:i/>
          <w:sz w:val="24"/>
        </w:rPr>
      </w:pPr>
      <w:r w:rsidRPr="0010128E">
        <w:rPr>
          <w:rFonts w:ascii="Times New Roman" w:hAnsi="Times New Roman"/>
          <w:i/>
          <w:sz w:val="24"/>
        </w:rPr>
        <w:t>PPPs Today</w:t>
      </w:r>
    </w:p>
    <w:p w14:paraId="4AFBF364" w14:textId="068C8E87" w:rsidR="00D00E56" w:rsidRPr="00B6243B" w:rsidRDefault="00D00E56" w:rsidP="00B6243B">
      <w:pPr>
        <w:spacing w:line="480" w:lineRule="auto"/>
        <w:ind w:firstLine="720"/>
        <w:rPr>
          <w:rFonts w:ascii="Times New Roman" w:hAnsi="Times New Roman"/>
          <w:i/>
          <w:sz w:val="24"/>
        </w:rPr>
      </w:pPr>
      <w:r w:rsidRPr="0010128E">
        <w:rPr>
          <w:rFonts w:ascii="Times New Roman" w:hAnsi="Times New Roman"/>
          <w:sz w:val="24"/>
        </w:rPr>
        <w:t xml:space="preserve">In Tanzania, the efforts of FBOs can be seen as complementary to public efforts as </w:t>
      </w:r>
      <w:r w:rsidR="00962195" w:rsidRPr="0010128E">
        <w:rPr>
          <w:rFonts w:ascii="Times New Roman" w:hAnsi="Times New Roman"/>
          <w:sz w:val="24"/>
        </w:rPr>
        <w:t>indicated</w:t>
      </w:r>
      <w:r w:rsidRPr="0010128E">
        <w:rPr>
          <w:rFonts w:ascii="Times New Roman" w:hAnsi="Times New Roman"/>
          <w:sz w:val="24"/>
        </w:rPr>
        <w:t xml:space="preserve"> by their government subsidization. Dambisya and Ichoku (2012) note the significance of FBOs in rural, hard-to-reach areas. </w:t>
      </w:r>
      <w:r w:rsidR="000169AC">
        <w:rPr>
          <w:rFonts w:ascii="Times New Roman" w:hAnsi="Times New Roman"/>
          <w:sz w:val="24"/>
        </w:rPr>
        <w:t>Lips</w:t>
      </w:r>
      <w:r w:rsidR="000169AC" w:rsidRPr="0010128E">
        <w:rPr>
          <w:rFonts w:ascii="Times New Roman" w:hAnsi="Times New Roman"/>
          <w:sz w:val="24"/>
        </w:rPr>
        <w:t>ky</w:t>
      </w:r>
      <w:r w:rsidRPr="0010128E">
        <w:rPr>
          <w:rFonts w:ascii="Times New Roman" w:hAnsi="Times New Roman"/>
          <w:sz w:val="24"/>
        </w:rPr>
        <w:t xml:space="preserve"> (2011) identifies the comparative advantages of FBOs in health delivery as having greater flexibility than the government and understanding local context, which ultimately leads to improved responsiveness to local needs. She also identifies their capacity to build social capital through volunteerism and community mobilization as an advantage. She follows that since “governments are unable to provide everything to their citizens [they] therefore, must seek partnership with other entities to provide some of those services and access necessary resources</w:t>
      </w:r>
      <w:r w:rsidR="005224F2" w:rsidRPr="0010128E">
        <w:rPr>
          <w:rFonts w:ascii="Times New Roman" w:hAnsi="Times New Roman"/>
          <w:sz w:val="24"/>
        </w:rPr>
        <w:t>”</w:t>
      </w:r>
      <w:r w:rsidRPr="0010128E">
        <w:rPr>
          <w:rFonts w:ascii="Times New Roman" w:hAnsi="Times New Roman"/>
          <w:sz w:val="24"/>
        </w:rPr>
        <w:t xml:space="preserve"> (2011, p.27). </w:t>
      </w:r>
    </w:p>
    <w:p w14:paraId="3EB53272" w14:textId="77777777" w:rsidR="00D00E56" w:rsidRPr="0010128E" w:rsidRDefault="00D00E56" w:rsidP="004809A8">
      <w:pPr>
        <w:spacing w:line="480" w:lineRule="auto"/>
        <w:ind w:firstLine="720"/>
        <w:rPr>
          <w:rFonts w:ascii="Times New Roman" w:hAnsi="Times New Roman"/>
          <w:sz w:val="24"/>
        </w:rPr>
      </w:pPr>
      <w:r w:rsidRPr="0010128E">
        <w:rPr>
          <w:rFonts w:ascii="Times New Roman" w:hAnsi="Times New Roman"/>
          <w:sz w:val="24"/>
        </w:rPr>
        <w:t xml:space="preserve">Designated District Hospitals in Tanzania provide a coordinating relationship between FBOs and the government </w:t>
      </w:r>
      <w:r w:rsidR="00AE4ABF" w:rsidRPr="0010128E">
        <w:rPr>
          <w:rFonts w:ascii="Times New Roman" w:hAnsi="Times New Roman"/>
          <w:noProof/>
          <w:sz w:val="24"/>
        </w:rPr>
        <w:t>(Green, Shaw, Dimmock, &amp; Conn, 2002)</w:t>
      </w:r>
      <w:r w:rsidRPr="0010128E">
        <w:rPr>
          <w:rFonts w:ascii="Times New Roman" w:hAnsi="Times New Roman"/>
          <w:sz w:val="24"/>
        </w:rPr>
        <w:t xml:space="preserve">. This status allows church hospitals to supervise community health services in its area. As a coordinated supervision of services, both the hospital and government are committed to PHC, and the church health services are even involved in District Health planning </w:t>
      </w:r>
      <w:r w:rsidR="00AE4ABF" w:rsidRPr="0010128E">
        <w:rPr>
          <w:rFonts w:ascii="Times New Roman" w:hAnsi="Times New Roman"/>
          <w:noProof/>
          <w:sz w:val="24"/>
        </w:rPr>
        <w:t>(Green, Shaw, Dimmock, &amp; Conn, 2002)</w:t>
      </w:r>
      <w:r w:rsidRPr="0010128E">
        <w:rPr>
          <w:rFonts w:ascii="Times New Roman" w:hAnsi="Times New Roman"/>
          <w:sz w:val="24"/>
        </w:rPr>
        <w:t xml:space="preserve">. </w:t>
      </w:r>
    </w:p>
    <w:p w14:paraId="48FF39DC" w14:textId="77777777" w:rsidR="003117E5" w:rsidRDefault="00D00E56" w:rsidP="003117E5">
      <w:pPr>
        <w:spacing w:line="480" w:lineRule="auto"/>
        <w:ind w:firstLine="562"/>
        <w:rPr>
          <w:rFonts w:ascii="Times New Roman" w:hAnsi="Times New Roman"/>
          <w:sz w:val="24"/>
        </w:rPr>
      </w:pPr>
      <w:r w:rsidRPr="0010128E">
        <w:rPr>
          <w:rFonts w:ascii="Times New Roman" w:hAnsi="Times New Roman"/>
          <w:sz w:val="24"/>
        </w:rPr>
        <w:t xml:space="preserve">PPPs can be seen as essential to the administration of health services due to the fact that such a high number of health facilities are owned by the private sector (both FBOs and for-profit), which was about 40% in 2009 </w:t>
      </w:r>
      <w:r w:rsidR="00AE4ABF" w:rsidRPr="0010128E">
        <w:rPr>
          <w:rFonts w:ascii="Times New Roman" w:hAnsi="Times New Roman"/>
          <w:noProof/>
          <w:sz w:val="24"/>
        </w:rPr>
        <w:t>(M</w:t>
      </w:r>
      <w:r w:rsidR="006878FC">
        <w:rPr>
          <w:rFonts w:ascii="Times New Roman" w:hAnsi="Times New Roman"/>
          <w:noProof/>
          <w:sz w:val="24"/>
        </w:rPr>
        <w:t>OHSW</w:t>
      </w:r>
      <w:r w:rsidR="00AE4ABF" w:rsidRPr="0010128E">
        <w:rPr>
          <w:rFonts w:ascii="Times New Roman" w:hAnsi="Times New Roman"/>
          <w:noProof/>
          <w:sz w:val="24"/>
        </w:rPr>
        <w:t>, 2009)</w:t>
      </w:r>
      <w:r w:rsidRPr="0010128E">
        <w:rPr>
          <w:rFonts w:ascii="Times New Roman" w:hAnsi="Times New Roman"/>
          <w:sz w:val="24"/>
        </w:rPr>
        <w:t xml:space="preserve">. A National </w:t>
      </w:r>
      <w:r w:rsidR="00B46355" w:rsidRPr="0010128E">
        <w:rPr>
          <w:rFonts w:ascii="Times New Roman" w:hAnsi="Times New Roman"/>
          <w:sz w:val="24"/>
        </w:rPr>
        <w:t>PPP</w:t>
      </w:r>
      <w:r w:rsidRPr="0010128E">
        <w:rPr>
          <w:rFonts w:ascii="Times New Roman" w:hAnsi="Times New Roman"/>
          <w:sz w:val="24"/>
        </w:rPr>
        <w:t xml:space="preserve"> Steering Committee was established in the early 2000s along with zonal and regional PPP forums in a</w:t>
      </w:r>
      <w:r w:rsidR="00B21325">
        <w:rPr>
          <w:rFonts w:ascii="Times New Roman" w:hAnsi="Times New Roman"/>
          <w:sz w:val="24"/>
        </w:rPr>
        <w:t xml:space="preserve"> number of zones and regions. There are council services at the</w:t>
      </w:r>
      <w:r w:rsidRPr="0010128E">
        <w:rPr>
          <w:rFonts w:ascii="Times New Roman" w:hAnsi="Times New Roman"/>
          <w:sz w:val="24"/>
        </w:rPr>
        <w:t xml:space="preserve"> district level </w:t>
      </w:r>
      <w:r w:rsidR="00521C1F">
        <w:rPr>
          <w:rFonts w:ascii="Times New Roman" w:hAnsi="Times New Roman"/>
          <w:sz w:val="24"/>
        </w:rPr>
        <w:t>t</w:t>
      </w:r>
      <w:r w:rsidR="00B21325">
        <w:rPr>
          <w:rFonts w:ascii="Times New Roman" w:hAnsi="Times New Roman"/>
          <w:sz w:val="24"/>
        </w:rPr>
        <w:t>o help</w:t>
      </w:r>
      <w:r w:rsidRPr="0010128E">
        <w:rPr>
          <w:rFonts w:ascii="Times New Roman" w:hAnsi="Times New Roman"/>
          <w:sz w:val="24"/>
        </w:rPr>
        <w:t xml:space="preserve"> facilitate PPP collaboration. However, the Ministry had no guiding policy how to put the PPP concept in practice. </w:t>
      </w:r>
    </w:p>
    <w:p w14:paraId="4E3C5899" w14:textId="025B9646" w:rsidR="005224F2" w:rsidRPr="0010128E" w:rsidRDefault="005224F2" w:rsidP="003117E5">
      <w:pPr>
        <w:spacing w:line="480" w:lineRule="auto"/>
        <w:ind w:firstLine="562"/>
        <w:rPr>
          <w:rFonts w:ascii="Times New Roman" w:hAnsi="Times New Roman"/>
          <w:sz w:val="24"/>
        </w:rPr>
      </w:pPr>
      <w:r w:rsidRPr="0010128E">
        <w:rPr>
          <w:rFonts w:ascii="Times New Roman" w:hAnsi="Times New Roman"/>
          <w:sz w:val="24"/>
        </w:rPr>
        <w:t>The MOHSW acknowledged the</w:t>
      </w:r>
      <w:r w:rsidR="00D00E56" w:rsidRPr="0010128E">
        <w:rPr>
          <w:rFonts w:ascii="Times New Roman" w:hAnsi="Times New Roman"/>
          <w:sz w:val="24"/>
        </w:rPr>
        <w:t xml:space="preserve"> inadequate conceptual recognition and understanding of PPPs, particularly the view that the private sector is regarded as a separate system co-existing with the public in provision of health services, </w:t>
      </w:r>
      <w:r w:rsidRPr="0010128E">
        <w:rPr>
          <w:rFonts w:ascii="Times New Roman" w:hAnsi="Times New Roman"/>
          <w:sz w:val="24"/>
        </w:rPr>
        <w:t>rather than</w:t>
      </w:r>
      <w:r w:rsidR="00D00E56" w:rsidRPr="0010128E">
        <w:rPr>
          <w:rFonts w:ascii="Times New Roman" w:hAnsi="Times New Roman"/>
          <w:sz w:val="24"/>
        </w:rPr>
        <w:t xml:space="preserve"> one system with equal actors providing complementary services</w:t>
      </w:r>
      <w:r w:rsidR="00AE4ABF" w:rsidRPr="0010128E">
        <w:rPr>
          <w:rFonts w:ascii="Times New Roman" w:hAnsi="Times New Roman"/>
          <w:noProof/>
          <w:sz w:val="24"/>
        </w:rPr>
        <w:t xml:space="preserve"> (</w:t>
      </w:r>
      <w:r w:rsidR="006878FC">
        <w:rPr>
          <w:rFonts w:ascii="Times New Roman" w:hAnsi="Times New Roman"/>
          <w:noProof/>
          <w:sz w:val="24"/>
        </w:rPr>
        <w:t>MOHSW</w:t>
      </w:r>
      <w:r w:rsidR="00AE4ABF" w:rsidRPr="0010128E">
        <w:rPr>
          <w:rFonts w:ascii="Times New Roman" w:hAnsi="Times New Roman"/>
          <w:noProof/>
          <w:sz w:val="24"/>
        </w:rPr>
        <w:t>, 2009)</w:t>
      </w:r>
      <w:r w:rsidR="00D00E56" w:rsidRPr="0010128E">
        <w:rPr>
          <w:rFonts w:ascii="Times New Roman" w:hAnsi="Times New Roman"/>
          <w:sz w:val="24"/>
        </w:rPr>
        <w:t xml:space="preserve">. </w:t>
      </w:r>
    </w:p>
    <w:p w14:paraId="20AFAD2C" w14:textId="10235F7B" w:rsidR="00D00E56" w:rsidRPr="0010128E" w:rsidRDefault="00D00E56" w:rsidP="00744110">
      <w:pPr>
        <w:spacing w:line="480" w:lineRule="auto"/>
        <w:ind w:firstLine="720"/>
        <w:rPr>
          <w:rFonts w:ascii="Times New Roman" w:hAnsi="Times New Roman"/>
          <w:sz w:val="24"/>
        </w:rPr>
      </w:pPr>
      <w:r w:rsidRPr="0010128E">
        <w:rPr>
          <w:rFonts w:ascii="Times New Roman" w:hAnsi="Times New Roman"/>
          <w:sz w:val="24"/>
        </w:rPr>
        <w:t xml:space="preserve">Recognizing that the capacity of private providers was not exhaustively utilized and that national health programs were often absent in private facilities, the MOHSW saw a need to merge efforts stating “the capacity of the MOHSW, the regional level, the district and the private stakeholders in managing negotiations and contractual arrangements in the policy and Service Agreement template is inadequate”.  </w:t>
      </w:r>
    </w:p>
    <w:p w14:paraId="1A74A0C4" w14:textId="4684F09F" w:rsidR="00C23A2B" w:rsidRPr="0010128E" w:rsidRDefault="00D00E56" w:rsidP="00642F4A">
      <w:pPr>
        <w:spacing w:line="480" w:lineRule="auto"/>
        <w:rPr>
          <w:rFonts w:ascii="Times New Roman" w:hAnsi="Times New Roman"/>
          <w:sz w:val="24"/>
        </w:rPr>
      </w:pPr>
      <w:r w:rsidRPr="0010128E">
        <w:rPr>
          <w:rFonts w:ascii="Times New Roman" w:hAnsi="Times New Roman"/>
          <w:sz w:val="24"/>
        </w:rPr>
        <w:tab/>
        <w:t>As of 2011, the MOHSW proposed merging the functions and activities performed under the Public Health Section and Voluntary and Private Health services Section, forming one Section to be called Public and Private Health Services</w:t>
      </w:r>
      <w:r w:rsidR="00AE4ABF" w:rsidRPr="0010128E">
        <w:rPr>
          <w:rFonts w:ascii="Times New Roman" w:hAnsi="Times New Roman"/>
          <w:noProof/>
          <w:sz w:val="24"/>
        </w:rPr>
        <w:t xml:space="preserve"> (President's Office Public Service Management, 2011)</w:t>
      </w:r>
      <w:r w:rsidRPr="0010128E">
        <w:rPr>
          <w:rFonts w:ascii="Times New Roman" w:hAnsi="Times New Roman"/>
          <w:sz w:val="24"/>
        </w:rPr>
        <w:t xml:space="preserve">. The identified reason was the fact that both Public and Voluntary Health Services are to be governed by the </w:t>
      </w:r>
      <w:r w:rsidR="009A19CA" w:rsidRPr="0010128E">
        <w:rPr>
          <w:rFonts w:ascii="Times New Roman" w:hAnsi="Times New Roman"/>
          <w:sz w:val="24"/>
        </w:rPr>
        <w:t xml:space="preserve">same principles and guidelines, and a merger would minimize cost and duplication of efforts. </w:t>
      </w:r>
      <w:r w:rsidRPr="0010128E">
        <w:rPr>
          <w:rFonts w:ascii="Times New Roman" w:hAnsi="Times New Roman"/>
          <w:sz w:val="24"/>
        </w:rPr>
        <w:t xml:space="preserve">While they all have the same functions and responsibilities, the difference between the two lies only on the basis of ownership. </w:t>
      </w:r>
    </w:p>
    <w:p w14:paraId="0E67206C" w14:textId="347132B4" w:rsidR="00141F0D" w:rsidRPr="0010128E" w:rsidRDefault="00EB3793" w:rsidP="00642F4A">
      <w:pPr>
        <w:spacing w:before="200" w:line="480" w:lineRule="auto"/>
        <w:rPr>
          <w:rFonts w:ascii="Times New Roman" w:hAnsi="Times New Roman"/>
          <w:i/>
          <w:sz w:val="24"/>
        </w:rPr>
      </w:pPr>
      <w:r w:rsidRPr="0010128E">
        <w:rPr>
          <w:rFonts w:ascii="Times New Roman" w:hAnsi="Times New Roman"/>
          <w:i/>
          <w:sz w:val="24"/>
        </w:rPr>
        <w:t>PPP</w:t>
      </w:r>
      <w:r w:rsidR="00F5795F" w:rsidRPr="0010128E">
        <w:rPr>
          <w:rFonts w:ascii="Times New Roman" w:hAnsi="Times New Roman"/>
          <w:i/>
          <w:sz w:val="24"/>
        </w:rPr>
        <w:t xml:space="preserve"> </w:t>
      </w:r>
      <w:r w:rsidRPr="0010128E">
        <w:rPr>
          <w:rFonts w:ascii="Times New Roman" w:hAnsi="Times New Roman"/>
          <w:i/>
          <w:sz w:val="24"/>
        </w:rPr>
        <w:t>Access</w:t>
      </w:r>
    </w:p>
    <w:p w14:paraId="2553990A" w14:textId="77777777" w:rsidR="00D00E56" w:rsidRPr="0010128E" w:rsidRDefault="00D1683A" w:rsidP="00D00E56">
      <w:pPr>
        <w:spacing w:line="480" w:lineRule="auto"/>
        <w:ind w:firstLine="720"/>
        <w:rPr>
          <w:rFonts w:ascii="Times New Roman" w:hAnsi="Times New Roman"/>
          <w:sz w:val="24"/>
        </w:rPr>
      </w:pPr>
      <w:r w:rsidRPr="0010128E">
        <w:rPr>
          <w:rFonts w:ascii="Times New Roman" w:hAnsi="Times New Roman"/>
          <w:sz w:val="24"/>
        </w:rPr>
        <w:t>Since the Tanzanian government has made a goal of close proximity to health care services (within 5km of a health facility), a</w:t>
      </w:r>
      <w:r w:rsidR="00D00E56" w:rsidRPr="0010128E">
        <w:rPr>
          <w:rFonts w:ascii="Times New Roman" w:hAnsi="Times New Roman"/>
          <w:sz w:val="24"/>
        </w:rPr>
        <w:t xml:space="preserve">ccess to primary facilities has certainly </w:t>
      </w:r>
      <w:r w:rsidRPr="0010128E">
        <w:rPr>
          <w:rFonts w:ascii="Times New Roman" w:hAnsi="Times New Roman"/>
          <w:sz w:val="24"/>
        </w:rPr>
        <w:t>grown over the last few decades</w:t>
      </w:r>
      <w:r w:rsidR="00D00E56" w:rsidRPr="0010128E">
        <w:rPr>
          <w:rFonts w:ascii="Times New Roman" w:hAnsi="Times New Roman"/>
          <w:sz w:val="24"/>
        </w:rPr>
        <w:t xml:space="preserve">. Hospital allocation, however, remains favored towards urban areas. Additionally, there is a </w:t>
      </w:r>
      <w:r w:rsidR="00AD14FE" w:rsidRPr="0010128E">
        <w:rPr>
          <w:rFonts w:ascii="Times New Roman" w:hAnsi="Times New Roman"/>
          <w:sz w:val="24"/>
        </w:rPr>
        <w:t xml:space="preserve">major disconnect between </w:t>
      </w:r>
      <w:r w:rsidR="00D00E56" w:rsidRPr="0010128E">
        <w:rPr>
          <w:rFonts w:ascii="Times New Roman" w:hAnsi="Times New Roman"/>
          <w:sz w:val="24"/>
        </w:rPr>
        <w:t>equity</w:t>
      </w:r>
      <w:r w:rsidR="00AD14FE" w:rsidRPr="0010128E">
        <w:rPr>
          <w:rFonts w:ascii="Times New Roman" w:hAnsi="Times New Roman"/>
          <w:sz w:val="24"/>
        </w:rPr>
        <w:t xml:space="preserve"> of acc</w:t>
      </w:r>
      <w:r w:rsidR="00733494" w:rsidRPr="0010128E">
        <w:rPr>
          <w:rFonts w:ascii="Times New Roman" w:hAnsi="Times New Roman"/>
          <w:sz w:val="24"/>
        </w:rPr>
        <w:t>ess between facilities. Figure 4</w:t>
      </w:r>
      <w:r w:rsidR="00AD14FE" w:rsidRPr="0010128E">
        <w:rPr>
          <w:rFonts w:ascii="Times New Roman" w:hAnsi="Times New Roman"/>
          <w:sz w:val="24"/>
        </w:rPr>
        <w:t xml:space="preserve"> shows the difference between the population </w:t>
      </w:r>
      <w:r w:rsidR="00D00E56" w:rsidRPr="0010128E">
        <w:rPr>
          <w:rFonts w:ascii="Times New Roman" w:hAnsi="Times New Roman"/>
          <w:sz w:val="24"/>
        </w:rPr>
        <w:t>private hospitals take in versus government</w:t>
      </w:r>
      <w:r w:rsidR="006853E7" w:rsidRPr="0010128E">
        <w:rPr>
          <w:rFonts w:ascii="Times New Roman" w:hAnsi="Times New Roman"/>
          <w:sz w:val="24"/>
        </w:rPr>
        <w:t xml:space="preserve"> and faith-based organizations.</w:t>
      </w:r>
      <w:r w:rsidR="00D00E56" w:rsidRPr="0010128E">
        <w:rPr>
          <w:rFonts w:ascii="Times New Roman" w:hAnsi="Times New Roman"/>
          <w:sz w:val="24"/>
        </w:rPr>
        <w:t xml:space="preserve"> Private-for-profit facilities disproportionately serve a large number of the top income quintile</w:t>
      </w:r>
      <w:r w:rsidR="00AD14FE" w:rsidRPr="0010128E">
        <w:rPr>
          <w:rFonts w:ascii="Times New Roman" w:hAnsi="Times New Roman"/>
          <w:sz w:val="24"/>
        </w:rPr>
        <w:t xml:space="preserve"> and often reject those that cannot pay</w:t>
      </w:r>
      <w:r w:rsidR="00D00E56" w:rsidRPr="0010128E">
        <w:rPr>
          <w:rFonts w:ascii="Times New Roman" w:hAnsi="Times New Roman"/>
          <w:sz w:val="24"/>
        </w:rPr>
        <w:t>, while the FBOs appear to have the most equitable distribution of benefits across income quintiles.</w:t>
      </w:r>
    </w:p>
    <w:p w14:paraId="0E078E26" w14:textId="434F2247" w:rsidR="00B93D19" w:rsidRPr="0010128E" w:rsidRDefault="004E41A5" w:rsidP="003117E5">
      <w:pPr>
        <w:spacing w:after="200" w:line="480" w:lineRule="auto"/>
        <w:ind w:firstLine="720"/>
        <w:rPr>
          <w:rFonts w:ascii="Times New Roman" w:hAnsi="Times New Roman"/>
          <w:sz w:val="24"/>
        </w:rPr>
      </w:pPr>
      <w:r w:rsidRPr="0010128E">
        <w:rPr>
          <w:rFonts w:ascii="Times New Roman" w:hAnsi="Times New Roman"/>
          <w:sz w:val="24"/>
        </w:rPr>
        <w:t>Makawia et al. (2010) suggest that greater availability of faith-based providers in rural areas and their flexible pricing strategies lead to a more even share of health care benefits</w:t>
      </w:r>
    </w:p>
    <w:p w14:paraId="13DED1F2" w14:textId="75B13BEA" w:rsidR="00864CD1" w:rsidRPr="0010128E" w:rsidRDefault="006376F9" w:rsidP="00864CD1">
      <w:pPr>
        <w:rPr>
          <w:rFonts w:ascii="Times New Roman" w:hAnsi="Times New Roman"/>
          <w:sz w:val="20"/>
          <w:szCs w:val="20"/>
        </w:rPr>
      </w:pPr>
      <w:r>
        <w:rPr>
          <w:noProof/>
        </w:rPr>
        <w:drawing>
          <wp:inline distT="0" distB="0" distL="0" distR="0" wp14:anchorId="2B5466D0" wp14:editId="787CF52C">
            <wp:extent cx="5876290" cy="3349376"/>
            <wp:effectExtent l="0" t="0" r="16510" b="292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5F1419" w14:textId="6628F685" w:rsidR="00D84AC0" w:rsidRPr="0010128E" w:rsidRDefault="00D00E56" w:rsidP="00864CD1">
      <w:pPr>
        <w:rPr>
          <w:rFonts w:ascii="Times New Roman" w:hAnsi="Times New Roman"/>
          <w:b/>
          <w:sz w:val="24"/>
        </w:rPr>
      </w:pPr>
      <w:r w:rsidRPr="0010128E">
        <w:rPr>
          <w:rFonts w:ascii="Times New Roman" w:hAnsi="Times New Roman"/>
          <w:b/>
          <w:sz w:val="20"/>
          <w:szCs w:val="20"/>
        </w:rPr>
        <w:t xml:space="preserve">Figure </w:t>
      </w:r>
      <w:r w:rsidR="00733494" w:rsidRPr="0010128E">
        <w:rPr>
          <w:rFonts w:ascii="Times New Roman" w:hAnsi="Times New Roman"/>
          <w:b/>
          <w:sz w:val="20"/>
          <w:szCs w:val="20"/>
        </w:rPr>
        <w:t>4</w:t>
      </w:r>
      <w:r w:rsidRPr="0010128E">
        <w:rPr>
          <w:rFonts w:ascii="Times New Roman" w:hAnsi="Times New Roman"/>
          <w:b/>
          <w:sz w:val="20"/>
          <w:szCs w:val="20"/>
        </w:rPr>
        <w:t xml:space="preserve"> Distribution of benefits according to income quintile and facility-type</w:t>
      </w:r>
      <w:r w:rsidR="00D84AC0" w:rsidRPr="0010128E">
        <w:rPr>
          <w:rFonts w:ascii="Times New Roman" w:hAnsi="Times New Roman"/>
          <w:b/>
          <w:sz w:val="20"/>
          <w:szCs w:val="20"/>
        </w:rPr>
        <w:t xml:space="preserve">, </w:t>
      </w:r>
      <w:r w:rsidR="00872EF0" w:rsidRPr="0010128E">
        <w:rPr>
          <w:rFonts w:ascii="Times New Roman" w:hAnsi="Times New Roman"/>
          <w:b/>
          <w:sz w:val="20"/>
          <w:szCs w:val="20"/>
        </w:rPr>
        <w:t>2008</w:t>
      </w:r>
    </w:p>
    <w:p w14:paraId="1467819F" w14:textId="15498C05" w:rsidR="00EB3793" w:rsidRPr="0010128E" w:rsidRDefault="00D84AC0" w:rsidP="002A0C69">
      <w:pPr>
        <w:pStyle w:val="Caption"/>
        <w:spacing w:after="0"/>
        <w:rPr>
          <w:rFonts w:ascii="Times New Roman" w:hAnsi="Times New Roman"/>
          <w:b w:val="0"/>
          <w:color w:val="auto"/>
          <w:sz w:val="20"/>
          <w:szCs w:val="20"/>
        </w:rPr>
      </w:pPr>
      <w:r w:rsidRPr="0010128E">
        <w:rPr>
          <w:rFonts w:ascii="Times New Roman" w:hAnsi="Times New Roman"/>
          <w:b w:val="0"/>
          <w:color w:val="auto"/>
          <w:sz w:val="20"/>
          <w:szCs w:val="20"/>
        </w:rPr>
        <w:t>Graph N</w:t>
      </w:r>
      <w:r w:rsidR="00EB3793" w:rsidRPr="0010128E">
        <w:rPr>
          <w:rFonts w:ascii="Times New Roman" w:hAnsi="Times New Roman"/>
          <w:b w:val="0"/>
          <w:color w:val="auto"/>
          <w:sz w:val="20"/>
          <w:szCs w:val="20"/>
        </w:rPr>
        <w:t>ote</w:t>
      </w:r>
      <w:r w:rsidRPr="0010128E">
        <w:rPr>
          <w:rFonts w:ascii="Times New Roman" w:hAnsi="Times New Roman"/>
          <w:b w:val="0"/>
          <w:color w:val="auto"/>
          <w:sz w:val="20"/>
          <w:szCs w:val="20"/>
        </w:rPr>
        <w:t>:</w:t>
      </w:r>
      <w:r w:rsidR="00EB3793" w:rsidRPr="0010128E">
        <w:rPr>
          <w:rFonts w:ascii="Times New Roman" w:hAnsi="Times New Roman"/>
          <w:b w:val="0"/>
          <w:color w:val="auto"/>
          <w:sz w:val="20"/>
          <w:szCs w:val="20"/>
        </w:rPr>
        <w:t xml:space="preserve"> 7% of benefits in the public facilities are received the poorest 20%</w:t>
      </w:r>
      <w:r w:rsidR="00AA04D1" w:rsidRPr="0010128E">
        <w:rPr>
          <w:rFonts w:ascii="Times New Roman" w:hAnsi="Times New Roman"/>
          <w:b w:val="0"/>
          <w:color w:val="auto"/>
          <w:sz w:val="20"/>
          <w:szCs w:val="20"/>
        </w:rPr>
        <w:t>. Overall, the poorest 20% receive just over 10% of all benefits.</w:t>
      </w:r>
      <w:r w:rsidR="00EB3793" w:rsidRPr="0010128E">
        <w:rPr>
          <w:rFonts w:ascii="Times New Roman" w:hAnsi="Times New Roman"/>
          <w:b w:val="0"/>
          <w:color w:val="auto"/>
          <w:sz w:val="20"/>
          <w:szCs w:val="20"/>
        </w:rPr>
        <w:t xml:space="preserve"> </w:t>
      </w:r>
    </w:p>
    <w:p w14:paraId="61E45A0C" w14:textId="63FCCF5E" w:rsidR="00D00E56" w:rsidRPr="0010128E" w:rsidRDefault="00D00E56" w:rsidP="00D84AC0">
      <w:pPr>
        <w:rPr>
          <w:rFonts w:ascii="Times New Roman" w:hAnsi="Times New Roman"/>
          <w:sz w:val="20"/>
          <w:szCs w:val="20"/>
        </w:rPr>
      </w:pPr>
      <w:r w:rsidRPr="0010128E">
        <w:rPr>
          <w:rFonts w:ascii="Times New Roman" w:hAnsi="Times New Roman"/>
          <w:sz w:val="20"/>
          <w:szCs w:val="20"/>
        </w:rPr>
        <w:t xml:space="preserve">Source: </w:t>
      </w:r>
      <w:r w:rsidR="00AA04D1" w:rsidRPr="0010128E">
        <w:rPr>
          <w:rFonts w:ascii="Times New Roman" w:hAnsi="Times New Roman"/>
          <w:sz w:val="20"/>
          <w:szCs w:val="20"/>
        </w:rPr>
        <w:t>Makawia</w:t>
      </w:r>
      <w:r w:rsidRPr="0010128E">
        <w:rPr>
          <w:rFonts w:ascii="Times New Roman" w:hAnsi="Times New Roman"/>
          <w:sz w:val="20"/>
          <w:szCs w:val="20"/>
        </w:rPr>
        <w:t xml:space="preserve"> et al., 2010</w:t>
      </w:r>
    </w:p>
    <w:p w14:paraId="354308A4" w14:textId="1B1097EB" w:rsidR="00D00E56" w:rsidRPr="0010128E" w:rsidRDefault="00D00E56" w:rsidP="00D00E56">
      <w:pPr>
        <w:rPr>
          <w:rFonts w:ascii="Times New Roman" w:eastAsia="Times New Roman" w:hAnsi="Times New Roman"/>
          <w:b/>
          <w:sz w:val="24"/>
        </w:rPr>
      </w:pPr>
    </w:p>
    <w:p w14:paraId="5F8C0233" w14:textId="0971B7EC" w:rsidR="003F05A6" w:rsidRPr="0010128E" w:rsidRDefault="00D00E56">
      <w:pPr>
        <w:spacing w:line="480" w:lineRule="auto"/>
        <w:ind w:firstLine="720"/>
        <w:rPr>
          <w:rFonts w:ascii="Times New Roman" w:hAnsi="Times New Roman"/>
          <w:sz w:val="24"/>
        </w:rPr>
        <w:sectPr w:rsidR="003F05A6" w:rsidRPr="0010128E" w:rsidSect="004B7721">
          <w:pgSz w:w="12240" w:h="15840"/>
          <w:pgMar w:top="1440" w:right="1440" w:bottom="1440" w:left="1440" w:header="720" w:footer="720" w:gutter="0"/>
          <w:cols w:space="720"/>
          <w:docGrid w:linePitch="360"/>
        </w:sectPr>
      </w:pPr>
      <w:r w:rsidRPr="0010128E">
        <w:rPr>
          <w:rFonts w:ascii="Times New Roman" w:eastAsia="Times New Roman" w:hAnsi="Times New Roman"/>
          <w:sz w:val="24"/>
        </w:rPr>
        <w:t>To assess the pr</w:t>
      </w:r>
      <w:r w:rsidR="00300A7A" w:rsidRPr="0010128E">
        <w:rPr>
          <w:rFonts w:ascii="Times New Roman" w:eastAsia="Times New Roman" w:hAnsi="Times New Roman"/>
          <w:sz w:val="24"/>
        </w:rPr>
        <w:t>ovision of PHC services, Table 3</w:t>
      </w:r>
      <w:r w:rsidRPr="0010128E">
        <w:rPr>
          <w:rFonts w:ascii="Times New Roman" w:eastAsia="Times New Roman" w:hAnsi="Times New Roman"/>
          <w:sz w:val="24"/>
        </w:rPr>
        <w:t xml:space="preserve"> displays services offered by facility, including </w:t>
      </w:r>
      <w:r w:rsidRPr="0010128E">
        <w:rPr>
          <w:rFonts w:ascii="Times New Roman" w:hAnsi="Times New Roman"/>
          <w:sz w:val="24"/>
        </w:rPr>
        <w:t xml:space="preserve">childhood immunizations, family planning, </w:t>
      </w:r>
      <w:r w:rsidR="006376F9">
        <w:rPr>
          <w:rFonts w:ascii="Times New Roman" w:hAnsi="Times New Roman"/>
          <w:sz w:val="24"/>
        </w:rPr>
        <w:t>ANC</w:t>
      </w:r>
      <w:r w:rsidRPr="0010128E">
        <w:rPr>
          <w:rFonts w:ascii="Times New Roman" w:hAnsi="Times New Roman"/>
          <w:sz w:val="24"/>
        </w:rPr>
        <w:t xml:space="preserve">, postnatal care (PNC), maternity, tuberculosis, and HIV/AIDS. From the standpoint of service provision, government facilities </w:t>
      </w:r>
      <w:r w:rsidRPr="0010128E">
        <w:rPr>
          <w:rFonts w:ascii="Times New Roman" w:eastAsia="Times New Roman" w:hAnsi="Times New Roman"/>
          <w:sz w:val="24"/>
        </w:rPr>
        <w:t xml:space="preserve">by far provide the most comprehensive access to </w:t>
      </w:r>
      <w:r w:rsidRPr="0010128E">
        <w:rPr>
          <w:rFonts w:ascii="Times New Roman" w:hAnsi="Times New Roman"/>
          <w:sz w:val="24"/>
        </w:rPr>
        <w:t>PHC-related services. The percentage of private-for-profit facilities, on the other hand, that provide all basic services (as defined by the survey) and other PHC-related services appears grossly inadequate. Since both private-for-profit facilities and FBOs receive government funding in their provision of health services, this raises the question of how in line this is with achieving PHC for all? Should government money continue to be funneled to private-for-profit facilities if only a small percentage provide the necessary PHC services?</w:t>
      </w:r>
    </w:p>
    <w:p w14:paraId="193D4D33" w14:textId="77777777" w:rsidR="00D00E56" w:rsidRPr="0010128E" w:rsidRDefault="00D00E56" w:rsidP="00D00E56">
      <w:pPr>
        <w:spacing w:line="480" w:lineRule="auto"/>
        <w:ind w:firstLine="720"/>
        <w:rPr>
          <w:rFonts w:ascii="Times New Roman" w:hAnsi="Times New Roman"/>
          <w:sz w:val="24"/>
        </w:rPr>
      </w:pPr>
      <w:r w:rsidRPr="0010128E">
        <w:rPr>
          <w:rFonts w:ascii="Times New Roman" w:hAnsi="Times New Roman"/>
          <w:sz w:val="24"/>
        </w:rPr>
        <w:t xml:space="preserve">     </w:t>
      </w:r>
    </w:p>
    <w:p w14:paraId="7E1C3248" w14:textId="040A9597" w:rsidR="00A601E6" w:rsidRPr="0010128E" w:rsidRDefault="00D00E56" w:rsidP="00864CD1">
      <w:pPr>
        <w:pStyle w:val="Caption"/>
        <w:keepNext/>
        <w:rPr>
          <w:rFonts w:ascii="Times New Roman" w:hAnsi="Times New Roman"/>
          <w:color w:val="auto"/>
          <w:sz w:val="24"/>
          <w:szCs w:val="24"/>
        </w:rPr>
      </w:pPr>
      <w:r w:rsidRPr="0010128E">
        <w:rPr>
          <w:rFonts w:ascii="Times New Roman" w:hAnsi="Times New Roman"/>
          <w:color w:val="auto"/>
          <w:sz w:val="24"/>
          <w:szCs w:val="24"/>
        </w:rPr>
        <w:t xml:space="preserve">Table </w:t>
      </w:r>
      <w:r w:rsidR="00300A7A" w:rsidRPr="0010128E">
        <w:rPr>
          <w:rFonts w:ascii="Times New Roman" w:hAnsi="Times New Roman"/>
          <w:color w:val="auto"/>
          <w:sz w:val="24"/>
          <w:szCs w:val="24"/>
        </w:rPr>
        <w:t>3</w:t>
      </w:r>
      <w:r w:rsidR="00B93D19" w:rsidRPr="0010128E">
        <w:rPr>
          <w:rFonts w:ascii="Times New Roman" w:hAnsi="Times New Roman"/>
          <w:color w:val="auto"/>
          <w:sz w:val="24"/>
          <w:szCs w:val="24"/>
        </w:rPr>
        <w:t xml:space="preserve"> </w:t>
      </w:r>
      <w:r w:rsidR="00A601E6" w:rsidRPr="0010128E">
        <w:rPr>
          <w:rFonts w:ascii="Times New Roman" w:hAnsi="Times New Roman"/>
          <w:color w:val="auto"/>
          <w:sz w:val="24"/>
          <w:szCs w:val="24"/>
        </w:rPr>
        <w:t xml:space="preserve">Provision of </w:t>
      </w:r>
      <w:r w:rsidR="006376F9">
        <w:rPr>
          <w:rFonts w:ascii="Times New Roman" w:hAnsi="Times New Roman"/>
          <w:color w:val="auto"/>
          <w:sz w:val="24"/>
          <w:szCs w:val="24"/>
        </w:rPr>
        <w:t>PHC</w:t>
      </w:r>
      <w:r w:rsidR="006D118E" w:rsidRPr="0010128E">
        <w:rPr>
          <w:rFonts w:ascii="Times New Roman" w:hAnsi="Times New Roman"/>
          <w:color w:val="auto"/>
          <w:sz w:val="24"/>
          <w:szCs w:val="24"/>
        </w:rPr>
        <w:t>, 2007</w:t>
      </w:r>
      <w:r w:rsidR="00A601E6" w:rsidRPr="0010128E">
        <w:rPr>
          <w:rFonts w:ascii="Times New Roman" w:hAnsi="Times New Roman"/>
          <w:color w:val="auto"/>
          <w:sz w:val="24"/>
          <w:szCs w:val="24"/>
        </w:rPr>
        <w:t xml:space="preserve"> </w:t>
      </w:r>
    </w:p>
    <w:tbl>
      <w:tblPr>
        <w:tblW w:w="13335" w:type="dxa"/>
        <w:tblInd w:w="93" w:type="dxa"/>
        <w:tblLayout w:type="fixed"/>
        <w:tblLook w:val="04A0" w:firstRow="1" w:lastRow="0" w:firstColumn="1" w:lastColumn="0" w:noHBand="0" w:noVBand="1"/>
      </w:tblPr>
      <w:tblGrid>
        <w:gridCol w:w="1445"/>
        <w:gridCol w:w="984"/>
        <w:gridCol w:w="983"/>
        <w:gridCol w:w="1128"/>
        <w:gridCol w:w="1195"/>
        <w:gridCol w:w="716"/>
        <w:gridCol w:w="626"/>
        <w:gridCol w:w="894"/>
        <w:gridCol w:w="894"/>
        <w:gridCol w:w="1072"/>
        <w:gridCol w:w="1251"/>
        <w:gridCol w:w="1162"/>
        <w:gridCol w:w="985"/>
      </w:tblGrid>
      <w:tr w:rsidR="00D00E56" w:rsidRPr="0010128E" w14:paraId="1A67062C" w14:textId="77777777" w:rsidTr="00744110">
        <w:trPr>
          <w:trHeight w:val="300"/>
        </w:trPr>
        <w:tc>
          <w:tcPr>
            <w:tcW w:w="13335" w:type="dxa"/>
            <w:gridSpan w:val="13"/>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1AC1DDCF" w14:textId="77777777" w:rsidR="00D00E56" w:rsidRPr="0010128E" w:rsidRDefault="00D00E56" w:rsidP="000B6A90">
            <w:pPr>
              <w:rPr>
                <w:rFonts w:ascii="Times New Roman" w:eastAsia="Times New Roman" w:hAnsi="Times New Roman"/>
                <w:b/>
                <w:sz w:val="24"/>
              </w:rPr>
            </w:pPr>
            <w:r w:rsidRPr="0010128E">
              <w:rPr>
                <w:rFonts w:ascii="Times New Roman" w:eastAsia="Times New Roman" w:hAnsi="Times New Roman"/>
                <w:b/>
                <w:sz w:val="24"/>
              </w:rPr>
              <w:t>Provision of PHC-related services by facility type</w:t>
            </w:r>
          </w:p>
        </w:tc>
      </w:tr>
      <w:tr w:rsidR="006D118E" w:rsidRPr="0010128E" w14:paraId="34EA09DD" w14:textId="77777777" w:rsidTr="00744110">
        <w:trPr>
          <w:trHeight w:val="386"/>
        </w:trPr>
        <w:tc>
          <w:tcPr>
            <w:tcW w:w="1445" w:type="dxa"/>
            <w:tcBorders>
              <w:top w:val="nil"/>
              <w:left w:val="single" w:sz="4" w:space="0" w:color="auto"/>
              <w:bottom w:val="single" w:sz="4" w:space="0" w:color="auto"/>
              <w:right w:val="single" w:sz="4" w:space="0" w:color="auto"/>
            </w:tcBorders>
            <w:shd w:val="clear" w:color="auto" w:fill="auto"/>
            <w:vAlign w:val="bottom"/>
          </w:tcPr>
          <w:p w14:paraId="332503A8" w14:textId="77777777" w:rsidR="006D118E" w:rsidRPr="0010128E" w:rsidRDefault="006D118E" w:rsidP="000B6A90">
            <w:pPr>
              <w:rPr>
                <w:rFonts w:ascii="Times New Roman" w:eastAsia="Times New Roman" w:hAnsi="Times New Roman"/>
                <w:szCs w:val="22"/>
              </w:rPr>
            </w:pPr>
          </w:p>
        </w:tc>
        <w:tc>
          <w:tcPr>
            <w:tcW w:w="11890" w:type="dxa"/>
            <w:gridSpan w:val="12"/>
            <w:tcBorders>
              <w:top w:val="nil"/>
              <w:left w:val="nil"/>
              <w:bottom w:val="single" w:sz="4" w:space="0" w:color="auto"/>
              <w:right w:val="single" w:sz="4" w:space="0" w:color="auto"/>
            </w:tcBorders>
            <w:shd w:val="clear" w:color="auto" w:fill="C0C0C0"/>
            <w:vAlign w:val="center"/>
          </w:tcPr>
          <w:p w14:paraId="6B3A415A" w14:textId="2FA80ADE" w:rsidR="006D118E" w:rsidRPr="0010128E" w:rsidRDefault="006D118E" w:rsidP="00665D43">
            <w:pPr>
              <w:jc w:val="center"/>
              <w:rPr>
                <w:rFonts w:ascii="Times New Roman" w:eastAsia="Times New Roman" w:hAnsi="Times New Roman"/>
                <w:b/>
                <w:bCs/>
                <w:sz w:val="24"/>
              </w:rPr>
            </w:pPr>
            <w:r w:rsidRPr="0010128E">
              <w:rPr>
                <w:rFonts w:ascii="Times New Roman" w:eastAsia="Times New Roman" w:hAnsi="Times New Roman"/>
                <w:b/>
                <w:bCs/>
                <w:sz w:val="24"/>
              </w:rPr>
              <w:t>Percentage of facilities that provide:</w:t>
            </w:r>
          </w:p>
        </w:tc>
      </w:tr>
      <w:tr w:rsidR="00665D43" w:rsidRPr="0010128E" w14:paraId="53AC2F9C" w14:textId="77777777" w:rsidTr="00744110">
        <w:trPr>
          <w:trHeight w:val="1220"/>
        </w:trPr>
        <w:tc>
          <w:tcPr>
            <w:tcW w:w="14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493C2" w14:textId="77777777" w:rsidR="00D00E56" w:rsidRPr="0010128E" w:rsidRDefault="00D00E56" w:rsidP="000B6A90">
            <w:pPr>
              <w:rPr>
                <w:rFonts w:ascii="Times New Roman" w:eastAsia="Times New Roman" w:hAnsi="Times New Roman"/>
                <w:szCs w:val="22"/>
              </w:rPr>
            </w:pPr>
            <w:r w:rsidRPr="0010128E">
              <w:rPr>
                <w:rFonts w:ascii="Times New Roman" w:eastAsia="Times New Roman" w:hAnsi="Times New Roman"/>
                <w:szCs w:val="22"/>
              </w:rPr>
              <w:t> </w:t>
            </w:r>
          </w:p>
        </w:tc>
        <w:tc>
          <w:tcPr>
            <w:tcW w:w="984" w:type="dxa"/>
            <w:tcBorders>
              <w:top w:val="nil"/>
              <w:left w:val="nil"/>
              <w:bottom w:val="single" w:sz="4" w:space="0" w:color="auto"/>
              <w:right w:val="single" w:sz="4" w:space="0" w:color="auto"/>
            </w:tcBorders>
            <w:shd w:val="clear" w:color="auto" w:fill="C0C0C0"/>
            <w:vAlign w:val="center"/>
            <w:hideMark/>
          </w:tcPr>
          <w:p w14:paraId="16856826" w14:textId="5AF7E04C" w:rsidR="00D00E56" w:rsidRPr="0010128E" w:rsidRDefault="00D00E56" w:rsidP="006D118E">
            <w:pPr>
              <w:jc w:val="center"/>
              <w:rPr>
                <w:rFonts w:ascii="Times New Roman" w:eastAsia="Times New Roman" w:hAnsi="Times New Roman"/>
                <w:sz w:val="20"/>
                <w:szCs w:val="20"/>
              </w:rPr>
            </w:pPr>
            <w:r w:rsidRPr="0010128E">
              <w:rPr>
                <w:rFonts w:ascii="Times New Roman" w:eastAsia="Times New Roman" w:hAnsi="Times New Roman"/>
                <w:sz w:val="20"/>
                <w:szCs w:val="20"/>
              </w:rPr>
              <w:t>All basic services*</w:t>
            </w:r>
          </w:p>
        </w:tc>
        <w:tc>
          <w:tcPr>
            <w:tcW w:w="983" w:type="dxa"/>
            <w:tcBorders>
              <w:top w:val="nil"/>
              <w:left w:val="nil"/>
              <w:bottom w:val="single" w:sz="4" w:space="0" w:color="auto"/>
              <w:right w:val="single" w:sz="4" w:space="0" w:color="auto"/>
            </w:tcBorders>
            <w:shd w:val="clear" w:color="auto" w:fill="C0C0C0"/>
            <w:vAlign w:val="center"/>
            <w:hideMark/>
          </w:tcPr>
          <w:p w14:paraId="16F93839" w14:textId="568FD652" w:rsidR="00D00E56" w:rsidRPr="0010128E" w:rsidRDefault="00665D43" w:rsidP="00665D43">
            <w:pPr>
              <w:jc w:val="center"/>
              <w:rPr>
                <w:rFonts w:ascii="Times New Roman" w:eastAsia="Times New Roman" w:hAnsi="Times New Roman"/>
                <w:sz w:val="20"/>
                <w:szCs w:val="20"/>
              </w:rPr>
            </w:pPr>
            <w:r w:rsidRPr="0010128E">
              <w:rPr>
                <w:rFonts w:ascii="Times New Roman" w:eastAsia="Times New Roman" w:hAnsi="Times New Roman"/>
                <w:sz w:val="20"/>
                <w:szCs w:val="20"/>
              </w:rPr>
              <w:t>Child immun-iz</w:t>
            </w:r>
            <w:r w:rsidR="00D00E56" w:rsidRPr="0010128E">
              <w:rPr>
                <w:rFonts w:ascii="Times New Roman" w:eastAsia="Times New Roman" w:hAnsi="Times New Roman"/>
                <w:sz w:val="20"/>
                <w:szCs w:val="20"/>
              </w:rPr>
              <w:t>ation</w:t>
            </w:r>
          </w:p>
        </w:tc>
        <w:tc>
          <w:tcPr>
            <w:tcW w:w="1128" w:type="dxa"/>
            <w:tcBorders>
              <w:top w:val="nil"/>
              <w:left w:val="nil"/>
              <w:bottom w:val="single" w:sz="4" w:space="0" w:color="auto"/>
              <w:right w:val="single" w:sz="4" w:space="0" w:color="auto"/>
            </w:tcBorders>
            <w:shd w:val="clear" w:color="auto" w:fill="C0C0C0"/>
            <w:vAlign w:val="center"/>
            <w:hideMark/>
          </w:tcPr>
          <w:p w14:paraId="71EEA1F2" w14:textId="267F79FB" w:rsidR="00D00E56" w:rsidRPr="0010128E" w:rsidRDefault="00D00E56" w:rsidP="00665D43">
            <w:pPr>
              <w:jc w:val="center"/>
              <w:rPr>
                <w:rFonts w:ascii="Times New Roman" w:eastAsia="Times New Roman" w:hAnsi="Times New Roman"/>
                <w:sz w:val="20"/>
                <w:szCs w:val="20"/>
              </w:rPr>
            </w:pPr>
            <w:r w:rsidRPr="0010128E">
              <w:rPr>
                <w:rFonts w:ascii="Times New Roman" w:eastAsia="Times New Roman" w:hAnsi="Times New Roman"/>
                <w:sz w:val="20"/>
                <w:szCs w:val="20"/>
              </w:rPr>
              <w:t>All basic child health services</w:t>
            </w:r>
          </w:p>
        </w:tc>
        <w:tc>
          <w:tcPr>
            <w:tcW w:w="1195" w:type="dxa"/>
            <w:tcBorders>
              <w:top w:val="nil"/>
              <w:left w:val="nil"/>
              <w:bottom w:val="single" w:sz="4" w:space="0" w:color="auto"/>
              <w:right w:val="single" w:sz="4" w:space="0" w:color="auto"/>
            </w:tcBorders>
            <w:shd w:val="clear" w:color="auto" w:fill="C0C0C0"/>
            <w:vAlign w:val="center"/>
            <w:hideMark/>
          </w:tcPr>
          <w:p w14:paraId="6AC7A671" w14:textId="38E712EC" w:rsidR="00D00E56" w:rsidRPr="0010128E" w:rsidRDefault="006D118E" w:rsidP="006D118E">
            <w:pPr>
              <w:jc w:val="center"/>
              <w:rPr>
                <w:rFonts w:ascii="Times New Roman" w:eastAsia="Times New Roman" w:hAnsi="Times New Roman"/>
                <w:sz w:val="20"/>
                <w:szCs w:val="20"/>
              </w:rPr>
            </w:pPr>
            <w:r w:rsidRPr="0010128E">
              <w:rPr>
                <w:rFonts w:ascii="Times New Roman" w:eastAsia="Times New Roman" w:hAnsi="Times New Roman"/>
                <w:sz w:val="20"/>
                <w:szCs w:val="20"/>
              </w:rPr>
              <w:t>Any</w:t>
            </w:r>
            <w:r w:rsidR="00D00E56" w:rsidRPr="0010128E">
              <w:rPr>
                <w:rFonts w:ascii="Times New Roman" w:eastAsia="Times New Roman" w:hAnsi="Times New Roman"/>
                <w:sz w:val="20"/>
                <w:szCs w:val="20"/>
              </w:rPr>
              <w:t xml:space="preserve"> modern contracep</w:t>
            </w:r>
            <w:r w:rsidR="00665D43" w:rsidRPr="0010128E">
              <w:rPr>
                <w:rFonts w:ascii="Times New Roman" w:eastAsia="Times New Roman" w:hAnsi="Times New Roman"/>
                <w:sz w:val="20"/>
                <w:szCs w:val="20"/>
              </w:rPr>
              <w:t>-</w:t>
            </w:r>
            <w:r w:rsidR="00D00E56" w:rsidRPr="0010128E">
              <w:rPr>
                <w:rFonts w:ascii="Times New Roman" w:eastAsia="Times New Roman" w:hAnsi="Times New Roman"/>
                <w:sz w:val="20"/>
                <w:szCs w:val="20"/>
              </w:rPr>
              <w:t>tive method</w:t>
            </w:r>
          </w:p>
        </w:tc>
        <w:tc>
          <w:tcPr>
            <w:tcW w:w="716" w:type="dxa"/>
            <w:tcBorders>
              <w:top w:val="nil"/>
              <w:left w:val="nil"/>
              <w:bottom w:val="single" w:sz="4" w:space="0" w:color="auto"/>
              <w:right w:val="single" w:sz="4" w:space="0" w:color="auto"/>
            </w:tcBorders>
            <w:shd w:val="clear" w:color="auto" w:fill="C0C0C0"/>
            <w:vAlign w:val="center"/>
            <w:hideMark/>
          </w:tcPr>
          <w:p w14:paraId="08491BB0" w14:textId="1D852242" w:rsidR="00D00E56" w:rsidRPr="0010128E" w:rsidRDefault="00D00E56" w:rsidP="00665D43">
            <w:pPr>
              <w:jc w:val="center"/>
              <w:rPr>
                <w:rFonts w:ascii="Times New Roman" w:eastAsia="Times New Roman" w:hAnsi="Times New Roman"/>
                <w:sz w:val="20"/>
                <w:szCs w:val="20"/>
              </w:rPr>
            </w:pPr>
            <w:r w:rsidRPr="0010128E">
              <w:rPr>
                <w:rFonts w:ascii="Times New Roman" w:eastAsia="Times New Roman" w:hAnsi="Times New Roman"/>
                <w:sz w:val="20"/>
                <w:szCs w:val="20"/>
              </w:rPr>
              <w:t>ANC</w:t>
            </w:r>
          </w:p>
        </w:tc>
        <w:tc>
          <w:tcPr>
            <w:tcW w:w="626" w:type="dxa"/>
            <w:tcBorders>
              <w:top w:val="nil"/>
              <w:left w:val="nil"/>
              <w:bottom w:val="single" w:sz="4" w:space="0" w:color="auto"/>
              <w:right w:val="single" w:sz="4" w:space="0" w:color="auto"/>
            </w:tcBorders>
            <w:shd w:val="clear" w:color="auto" w:fill="C0C0C0"/>
            <w:vAlign w:val="center"/>
            <w:hideMark/>
          </w:tcPr>
          <w:p w14:paraId="77B7F24C" w14:textId="77777777" w:rsidR="00D00E56" w:rsidRPr="0010128E" w:rsidRDefault="00D00E56" w:rsidP="00665D43">
            <w:pPr>
              <w:jc w:val="center"/>
              <w:rPr>
                <w:rFonts w:ascii="Times New Roman" w:eastAsia="Times New Roman" w:hAnsi="Times New Roman"/>
                <w:sz w:val="20"/>
                <w:szCs w:val="20"/>
              </w:rPr>
            </w:pPr>
            <w:r w:rsidRPr="0010128E">
              <w:rPr>
                <w:rFonts w:ascii="Times New Roman" w:eastAsia="Times New Roman" w:hAnsi="Times New Roman"/>
                <w:sz w:val="20"/>
                <w:szCs w:val="20"/>
              </w:rPr>
              <w:t>PNC</w:t>
            </w:r>
          </w:p>
        </w:tc>
        <w:tc>
          <w:tcPr>
            <w:tcW w:w="894" w:type="dxa"/>
            <w:tcBorders>
              <w:top w:val="nil"/>
              <w:left w:val="nil"/>
              <w:bottom w:val="single" w:sz="4" w:space="0" w:color="auto"/>
              <w:right w:val="single" w:sz="4" w:space="0" w:color="auto"/>
            </w:tcBorders>
            <w:shd w:val="clear" w:color="auto" w:fill="C0C0C0"/>
            <w:vAlign w:val="center"/>
            <w:hideMark/>
          </w:tcPr>
          <w:p w14:paraId="66D732C3" w14:textId="77777777" w:rsidR="00D00E56" w:rsidRPr="0010128E" w:rsidRDefault="00D00E56" w:rsidP="00665D43">
            <w:pPr>
              <w:jc w:val="center"/>
              <w:rPr>
                <w:rFonts w:ascii="Times New Roman" w:eastAsia="Times New Roman" w:hAnsi="Times New Roman"/>
                <w:sz w:val="20"/>
                <w:szCs w:val="20"/>
              </w:rPr>
            </w:pPr>
            <w:r w:rsidRPr="0010128E">
              <w:rPr>
                <w:rFonts w:ascii="Times New Roman" w:eastAsia="Times New Roman" w:hAnsi="Times New Roman"/>
                <w:sz w:val="20"/>
                <w:szCs w:val="20"/>
              </w:rPr>
              <w:t>Normal delivery services</w:t>
            </w:r>
          </w:p>
        </w:tc>
        <w:tc>
          <w:tcPr>
            <w:tcW w:w="894" w:type="dxa"/>
            <w:tcBorders>
              <w:top w:val="nil"/>
              <w:left w:val="nil"/>
              <w:bottom w:val="single" w:sz="4" w:space="0" w:color="auto"/>
              <w:right w:val="single" w:sz="4" w:space="0" w:color="auto"/>
            </w:tcBorders>
            <w:shd w:val="clear" w:color="auto" w:fill="C0C0C0"/>
            <w:vAlign w:val="center"/>
            <w:hideMark/>
          </w:tcPr>
          <w:p w14:paraId="68C34512" w14:textId="77777777" w:rsidR="00D00E56" w:rsidRPr="0010128E" w:rsidRDefault="00D00E56" w:rsidP="00665D43">
            <w:pPr>
              <w:jc w:val="center"/>
              <w:rPr>
                <w:rFonts w:ascii="Times New Roman" w:eastAsia="Times New Roman" w:hAnsi="Times New Roman"/>
                <w:sz w:val="20"/>
                <w:szCs w:val="20"/>
              </w:rPr>
            </w:pPr>
            <w:r w:rsidRPr="0010128E">
              <w:rPr>
                <w:rFonts w:ascii="Times New Roman" w:eastAsia="Times New Roman" w:hAnsi="Times New Roman"/>
                <w:sz w:val="20"/>
                <w:szCs w:val="20"/>
              </w:rPr>
              <w:t>ANC &amp; normal delivery</w:t>
            </w:r>
          </w:p>
        </w:tc>
        <w:tc>
          <w:tcPr>
            <w:tcW w:w="1072" w:type="dxa"/>
            <w:tcBorders>
              <w:top w:val="nil"/>
              <w:left w:val="nil"/>
              <w:bottom w:val="single" w:sz="4" w:space="0" w:color="auto"/>
              <w:right w:val="single" w:sz="4" w:space="0" w:color="auto"/>
            </w:tcBorders>
            <w:shd w:val="clear" w:color="auto" w:fill="C0C0C0"/>
            <w:vAlign w:val="center"/>
            <w:hideMark/>
          </w:tcPr>
          <w:p w14:paraId="263DA266" w14:textId="77777777" w:rsidR="00D00E56" w:rsidRPr="0010128E" w:rsidRDefault="00D00E56" w:rsidP="00665D43">
            <w:pPr>
              <w:jc w:val="center"/>
              <w:rPr>
                <w:rFonts w:ascii="Times New Roman" w:eastAsia="Times New Roman" w:hAnsi="Times New Roman"/>
                <w:sz w:val="20"/>
                <w:szCs w:val="20"/>
              </w:rPr>
            </w:pPr>
            <w:r w:rsidRPr="0010128E">
              <w:rPr>
                <w:rFonts w:ascii="Times New Roman" w:eastAsia="Times New Roman" w:hAnsi="Times New Roman"/>
                <w:sz w:val="20"/>
                <w:szCs w:val="20"/>
              </w:rPr>
              <w:t>Any TB diagnostic services</w:t>
            </w:r>
          </w:p>
        </w:tc>
        <w:tc>
          <w:tcPr>
            <w:tcW w:w="1251" w:type="dxa"/>
            <w:tcBorders>
              <w:top w:val="nil"/>
              <w:left w:val="nil"/>
              <w:bottom w:val="single" w:sz="4" w:space="0" w:color="auto"/>
              <w:right w:val="single" w:sz="4" w:space="0" w:color="auto"/>
            </w:tcBorders>
            <w:shd w:val="clear" w:color="auto" w:fill="C0C0C0"/>
            <w:vAlign w:val="center"/>
            <w:hideMark/>
          </w:tcPr>
          <w:p w14:paraId="258BFB3F" w14:textId="7C083AF7" w:rsidR="00D00E56" w:rsidRPr="0010128E" w:rsidRDefault="006D118E" w:rsidP="006D118E">
            <w:pPr>
              <w:jc w:val="center"/>
              <w:rPr>
                <w:rFonts w:ascii="Times New Roman" w:eastAsia="Times New Roman" w:hAnsi="Times New Roman"/>
                <w:sz w:val="20"/>
                <w:szCs w:val="20"/>
              </w:rPr>
            </w:pPr>
            <w:r w:rsidRPr="0010128E">
              <w:rPr>
                <w:rFonts w:ascii="Times New Roman" w:eastAsia="Times New Roman" w:hAnsi="Times New Roman"/>
                <w:sz w:val="20"/>
                <w:szCs w:val="20"/>
              </w:rPr>
              <w:t>An</w:t>
            </w:r>
            <w:r w:rsidR="00D00E56" w:rsidRPr="0010128E">
              <w:rPr>
                <w:rFonts w:ascii="Times New Roman" w:eastAsia="Times New Roman" w:hAnsi="Times New Roman"/>
                <w:sz w:val="20"/>
                <w:szCs w:val="20"/>
              </w:rPr>
              <w:t xml:space="preserve"> HIV testing system</w:t>
            </w:r>
          </w:p>
        </w:tc>
        <w:tc>
          <w:tcPr>
            <w:tcW w:w="1162" w:type="dxa"/>
            <w:tcBorders>
              <w:top w:val="nil"/>
              <w:left w:val="nil"/>
              <w:bottom w:val="single" w:sz="4" w:space="0" w:color="auto"/>
              <w:right w:val="single" w:sz="4" w:space="0" w:color="auto"/>
            </w:tcBorders>
            <w:shd w:val="clear" w:color="auto" w:fill="C0C0C0"/>
            <w:vAlign w:val="center"/>
            <w:hideMark/>
          </w:tcPr>
          <w:p w14:paraId="063271B6" w14:textId="19354607" w:rsidR="00D00E56" w:rsidRPr="0010128E" w:rsidRDefault="006D118E" w:rsidP="006D118E">
            <w:pPr>
              <w:jc w:val="center"/>
              <w:rPr>
                <w:rFonts w:ascii="Times New Roman" w:eastAsia="Times New Roman" w:hAnsi="Times New Roman"/>
                <w:sz w:val="20"/>
                <w:szCs w:val="20"/>
              </w:rPr>
            </w:pPr>
            <w:r w:rsidRPr="0010128E">
              <w:rPr>
                <w:rFonts w:ascii="Times New Roman" w:eastAsia="Times New Roman" w:hAnsi="Times New Roman"/>
                <w:sz w:val="20"/>
                <w:szCs w:val="20"/>
              </w:rPr>
              <w:t>Anti-retroviral Treatment</w:t>
            </w:r>
          </w:p>
        </w:tc>
        <w:tc>
          <w:tcPr>
            <w:tcW w:w="985" w:type="dxa"/>
            <w:tcBorders>
              <w:top w:val="nil"/>
              <w:left w:val="nil"/>
              <w:bottom w:val="single" w:sz="4" w:space="0" w:color="auto"/>
              <w:right w:val="single" w:sz="4" w:space="0" w:color="auto"/>
            </w:tcBorders>
            <w:shd w:val="clear" w:color="auto" w:fill="C0C0C0"/>
            <w:vAlign w:val="center"/>
            <w:hideMark/>
          </w:tcPr>
          <w:p w14:paraId="58411414" w14:textId="77777777" w:rsidR="00D00E56" w:rsidRPr="0010128E" w:rsidRDefault="00D00E56" w:rsidP="00665D43">
            <w:pPr>
              <w:jc w:val="center"/>
              <w:rPr>
                <w:rFonts w:ascii="Times New Roman" w:eastAsia="Times New Roman" w:hAnsi="Times New Roman"/>
                <w:b/>
                <w:bCs/>
                <w:sz w:val="20"/>
                <w:szCs w:val="20"/>
              </w:rPr>
            </w:pPr>
            <w:r w:rsidRPr="0010128E">
              <w:rPr>
                <w:rFonts w:ascii="Times New Roman" w:eastAsia="Times New Roman" w:hAnsi="Times New Roman"/>
                <w:b/>
                <w:bCs/>
                <w:sz w:val="20"/>
                <w:szCs w:val="20"/>
              </w:rPr>
              <w:t>Average %</w:t>
            </w:r>
          </w:p>
        </w:tc>
      </w:tr>
      <w:tr w:rsidR="00665D43" w:rsidRPr="0010128E" w14:paraId="2BC0C297" w14:textId="77777777" w:rsidTr="00744110">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FAB668A" w14:textId="77777777" w:rsidR="00D00E56" w:rsidRPr="0010128E" w:rsidRDefault="00D00E56" w:rsidP="000B6A90">
            <w:pPr>
              <w:rPr>
                <w:rFonts w:ascii="Times New Roman" w:eastAsia="Times New Roman" w:hAnsi="Times New Roman"/>
                <w:b/>
                <w:bCs/>
                <w:szCs w:val="22"/>
              </w:rPr>
            </w:pPr>
            <w:r w:rsidRPr="0010128E">
              <w:rPr>
                <w:rFonts w:ascii="Times New Roman" w:eastAsia="Times New Roman" w:hAnsi="Times New Roman"/>
                <w:b/>
                <w:bCs/>
                <w:szCs w:val="22"/>
              </w:rPr>
              <w:t>Government</w:t>
            </w:r>
          </w:p>
        </w:tc>
        <w:tc>
          <w:tcPr>
            <w:tcW w:w="984" w:type="dxa"/>
            <w:tcBorders>
              <w:top w:val="nil"/>
              <w:left w:val="nil"/>
              <w:bottom w:val="single" w:sz="4" w:space="0" w:color="auto"/>
              <w:right w:val="single" w:sz="4" w:space="0" w:color="auto"/>
            </w:tcBorders>
            <w:shd w:val="clear" w:color="auto" w:fill="auto"/>
            <w:noWrap/>
            <w:vAlign w:val="bottom"/>
            <w:hideMark/>
          </w:tcPr>
          <w:p w14:paraId="3D898111"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91</w:t>
            </w:r>
          </w:p>
        </w:tc>
        <w:tc>
          <w:tcPr>
            <w:tcW w:w="983" w:type="dxa"/>
            <w:tcBorders>
              <w:top w:val="nil"/>
              <w:left w:val="nil"/>
              <w:bottom w:val="single" w:sz="4" w:space="0" w:color="auto"/>
              <w:right w:val="single" w:sz="4" w:space="0" w:color="auto"/>
            </w:tcBorders>
            <w:shd w:val="clear" w:color="auto" w:fill="auto"/>
            <w:noWrap/>
            <w:vAlign w:val="bottom"/>
            <w:hideMark/>
          </w:tcPr>
          <w:p w14:paraId="5F294736"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94</w:t>
            </w:r>
          </w:p>
        </w:tc>
        <w:tc>
          <w:tcPr>
            <w:tcW w:w="1128" w:type="dxa"/>
            <w:tcBorders>
              <w:top w:val="nil"/>
              <w:left w:val="nil"/>
              <w:bottom w:val="single" w:sz="4" w:space="0" w:color="auto"/>
              <w:right w:val="single" w:sz="4" w:space="0" w:color="auto"/>
            </w:tcBorders>
            <w:shd w:val="clear" w:color="auto" w:fill="auto"/>
            <w:noWrap/>
            <w:vAlign w:val="bottom"/>
            <w:hideMark/>
          </w:tcPr>
          <w:p w14:paraId="4D9DBAE2"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93</w:t>
            </w:r>
          </w:p>
        </w:tc>
        <w:tc>
          <w:tcPr>
            <w:tcW w:w="1195" w:type="dxa"/>
            <w:tcBorders>
              <w:top w:val="nil"/>
              <w:left w:val="nil"/>
              <w:bottom w:val="single" w:sz="4" w:space="0" w:color="auto"/>
              <w:right w:val="single" w:sz="4" w:space="0" w:color="auto"/>
            </w:tcBorders>
            <w:shd w:val="clear" w:color="auto" w:fill="auto"/>
            <w:noWrap/>
            <w:vAlign w:val="bottom"/>
            <w:hideMark/>
          </w:tcPr>
          <w:p w14:paraId="371748E4"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97</w:t>
            </w:r>
          </w:p>
        </w:tc>
        <w:tc>
          <w:tcPr>
            <w:tcW w:w="716" w:type="dxa"/>
            <w:tcBorders>
              <w:top w:val="nil"/>
              <w:left w:val="nil"/>
              <w:bottom w:val="single" w:sz="4" w:space="0" w:color="auto"/>
              <w:right w:val="single" w:sz="4" w:space="0" w:color="auto"/>
            </w:tcBorders>
            <w:shd w:val="clear" w:color="auto" w:fill="auto"/>
            <w:noWrap/>
            <w:vAlign w:val="bottom"/>
            <w:hideMark/>
          </w:tcPr>
          <w:p w14:paraId="13543609"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96</w:t>
            </w:r>
          </w:p>
        </w:tc>
        <w:tc>
          <w:tcPr>
            <w:tcW w:w="626" w:type="dxa"/>
            <w:tcBorders>
              <w:top w:val="nil"/>
              <w:left w:val="nil"/>
              <w:bottom w:val="single" w:sz="4" w:space="0" w:color="auto"/>
              <w:right w:val="single" w:sz="4" w:space="0" w:color="auto"/>
            </w:tcBorders>
            <w:shd w:val="clear" w:color="auto" w:fill="auto"/>
            <w:noWrap/>
            <w:vAlign w:val="bottom"/>
            <w:hideMark/>
          </w:tcPr>
          <w:p w14:paraId="20A9BDA1"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79</w:t>
            </w:r>
          </w:p>
        </w:tc>
        <w:tc>
          <w:tcPr>
            <w:tcW w:w="894" w:type="dxa"/>
            <w:tcBorders>
              <w:top w:val="nil"/>
              <w:left w:val="nil"/>
              <w:bottom w:val="single" w:sz="4" w:space="0" w:color="auto"/>
              <w:right w:val="single" w:sz="4" w:space="0" w:color="auto"/>
            </w:tcBorders>
            <w:shd w:val="clear" w:color="auto" w:fill="auto"/>
            <w:noWrap/>
            <w:vAlign w:val="bottom"/>
            <w:hideMark/>
          </w:tcPr>
          <w:p w14:paraId="2ADC9278"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91</w:t>
            </w:r>
          </w:p>
        </w:tc>
        <w:tc>
          <w:tcPr>
            <w:tcW w:w="894" w:type="dxa"/>
            <w:tcBorders>
              <w:top w:val="nil"/>
              <w:left w:val="nil"/>
              <w:bottom w:val="single" w:sz="4" w:space="0" w:color="auto"/>
              <w:right w:val="single" w:sz="4" w:space="0" w:color="auto"/>
            </w:tcBorders>
            <w:shd w:val="clear" w:color="auto" w:fill="auto"/>
            <w:noWrap/>
            <w:vAlign w:val="bottom"/>
            <w:hideMark/>
          </w:tcPr>
          <w:p w14:paraId="6AEBDC49"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90</w:t>
            </w:r>
          </w:p>
        </w:tc>
        <w:tc>
          <w:tcPr>
            <w:tcW w:w="1072" w:type="dxa"/>
            <w:tcBorders>
              <w:top w:val="nil"/>
              <w:left w:val="nil"/>
              <w:bottom w:val="single" w:sz="4" w:space="0" w:color="auto"/>
              <w:right w:val="single" w:sz="4" w:space="0" w:color="auto"/>
            </w:tcBorders>
            <w:shd w:val="clear" w:color="auto" w:fill="auto"/>
            <w:noWrap/>
            <w:vAlign w:val="bottom"/>
            <w:hideMark/>
          </w:tcPr>
          <w:p w14:paraId="756EBC6D"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44</w:t>
            </w:r>
          </w:p>
        </w:tc>
        <w:tc>
          <w:tcPr>
            <w:tcW w:w="1251" w:type="dxa"/>
            <w:tcBorders>
              <w:top w:val="nil"/>
              <w:left w:val="nil"/>
              <w:bottom w:val="single" w:sz="4" w:space="0" w:color="auto"/>
              <w:right w:val="single" w:sz="4" w:space="0" w:color="auto"/>
            </w:tcBorders>
            <w:shd w:val="clear" w:color="auto" w:fill="auto"/>
            <w:noWrap/>
            <w:vAlign w:val="bottom"/>
            <w:hideMark/>
          </w:tcPr>
          <w:p w14:paraId="343F8E9F"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22</w:t>
            </w:r>
          </w:p>
        </w:tc>
        <w:tc>
          <w:tcPr>
            <w:tcW w:w="1162" w:type="dxa"/>
            <w:tcBorders>
              <w:top w:val="nil"/>
              <w:left w:val="nil"/>
              <w:bottom w:val="single" w:sz="4" w:space="0" w:color="auto"/>
              <w:right w:val="single" w:sz="4" w:space="0" w:color="auto"/>
            </w:tcBorders>
            <w:shd w:val="clear" w:color="auto" w:fill="auto"/>
            <w:noWrap/>
            <w:vAlign w:val="bottom"/>
            <w:hideMark/>
          </w:tcPr>
          <w:p w14:paraId="054F2855"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3</w:t>
            </w:r>
          </w:p>
        </w:tc>
        <w:tc>
          <w:tcPr>
            <w:tcW w:w="985" w:type="dxa"/>
            <w:tcBorders>
              <w:top w:val="nil"/>
              <w:left w:val="nil"/>
              <w:bottom w:val="single" w:sz="4" w:space="0" w:color="auto"/>
              <w:right w:val="single" w:sz="4" w:space="0" w:color="auto"/>
            </w:tcBorders>
            <w:shd w:val="clear" w:color="auto" w:fill="auto"/>
            <w:noWrap/>
            <w:vAlign w:val="bottom"/>
            <w:hideMark/>
          </w:tcPr>
          <w:p w14:paraId="48CAEBB1" w14:textId="77777777" w:rsidR="00D00E56" w:rsidRPr="0010128E" w:rsidRDefault="00D00E56" w:rsidP="000B6A90">
            <w:pPr>
              <w:jc w:val="right"/>
              <w:rPr>
                <w:rFonts w:ascii="Times New Roman" w:eastAsia="Times New Roman" w:hAnsi="Times New Roman"/>
                <w:b/>
                <w:bCs/>
                <w:szCs w:val="22"/>
              </w:rPr>
            </w:pPr>
            <w:r w:rsidRPr="0010128E">
              <w:rPr>
                <w:rFonts w:ascii="Times New Roman" w:eastAsia="Times New Roman" w:hAnsi="Times New Roman"/>
                <w:b/>
                <w:bCs/>
                <w:szCs w:val="22"/>
              </w:rPr>
              <w:t>73</w:t>
            </w:r>
          </w:p>
        </w:tc>
      </w:tr>
      <w:tr w:rsidR="00665D43" w:rsidRPr="0010128E" w14:paraId="402FE381" w14:textId="77777777" w:rsidTr="00744110">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1CF5D3CE" w14:textId="77777777" w:rsidR="00D00E56" w:rsidRPr="0010128E" w:rsidRDefault="00D00E56" w:rsidP="000B6A90">
            <w:pPr>
              <w:rPr>
                <w:rFonts w:ascii="Times New Roman" w:eastAsia="Times New Roman" w:hAnsi="Times New Roman"/>
                <w:b/>
                <w:bCs/>
                <w:szCs w:val="22"/>
              </w:rPr>
            </w:pPr>
            <w:r w:rsidRPr="0010128E">
              <w:rPr>
                <w:rFonts w:ascii="Times New Roman" w:eastAsia="Times New Roman" w:hAnsi="Times New Roman"/>
                <w:b/>
                <w:bCs/>
                <w:szCs w:val="22"/>
              </w:rPr>
              <w:t>Private-for-profit</w:t>
            </w:r>
          </w:p>
        </w:tc>
        <w:tc>
          <w:tcPr>
            <w:tcW w:w="984" w:type="dxa"/>
            <w:tcBorders>
              <w:top w:val="nil"/>
              <w:left w:val="nil"/>
              <w:bottom w:val="single" w:sz="4" w:space="0" w:color="auto"/>
              <w:right w:val="single" w:sz="4" w:space="0" w:color="auto"/>
            </w:tcBorders>
            <w:shd w:val="clear" w:color="auto" w:fill="auto"/>
            <w:noWrap/>
            <w:vAlign w:val="bottom"/>
            <w:hideMark/>
          </w:tcPr>
          <w:p w14:paraId="1DCB3B1D"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23</w:t>
            </w:r>
          </w:p>
        </w:tc>
        <w:tc>
          <w:tcPr>
            <w:tcW w:w="983" w:type="dxa"/>
            <w:tcBorders>
              <w:top w:val="nil"/>
              <w:left w:val="nil"/>
              <w:bottom w:val="single" w:sz="4" w:space="0" w:color="auto"/>
              <w:right w:val="single" w:sz="4" w:space="0" w:color="auto"/>
            </w:tcBorders>
            <w:shd w:val="clear" w:color="auto" w:fill="auto"/>
            <w:noWrap/>
            <w:vAlign w:val="bottom"/>
            <w:hideMark/>
          </w:tcPr>
          <w:p w14:paraId="18A780A2"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24</w:t>
            </w:r>
          </w:p>
        </w:tc>
        <w:tc>
          <w:tcPr>
            <w:tcW w:w="1128" w:type="dxa"/>
            <w:tcBorders>
              <w:top w:val="nil"/>
              <w:left w:val="nil"/>
              <w:bottom w:val="single" w:sz="4" w:space="0" w:color="auto"/>
              <w:right w:val="single" w:sz="4" w:space="0" w:color="auto"/>
            </w:tcBorders>
            <w:shd w:val="clear" w:color="auto" w:fill="auto"/>
            <w:noWrap/>
            <w:vAlign w:val="bottom"/>
            <w:hideMark/>
          </w:tcPr>
          <w:p w14:paraId="6CFE8A0F"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24</w:t>
            </w:r>
          </w:p>
        </w:tc>
        <w:tc>
          <w:tcPr>
            <w:tcW w:w="1195" w:type="dxa"/>
            <w:tcBorders>
              <w:top w:val="nil"/>
              <w:left w:val="nil"/>
              <w:bottom w:val="single" w:sz="4" w:space="0" w:color="auto"/>
              <w:right w:val="single" w:sz="4" w:space="0" w:color="auto"/>
            </w:tcBorders>
            <w:shd w:val="clear" w:color="auto" w:fill="auto"/>
            <w:noWrap/>
            <w:vAlign w:val="bottom"/>
            <w:hideMark/>
          </w:tcPr>
          <w:p w14:paraId="7C035F07"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32</w:t>
            </w:r>
          </w:p>
        </w:tc>
        <w:tc>
          <w:tcPr>
            <w:tcW w:w="716" w:type="dxa"/>
            <w:tcBorders>
              <w:top w:val="nil"/>
              <w:left w:val="nil"/>
              <w:bottom w:val="single" w:sz="4" w:space="0" w:color="auto"/>
              <w:right w:val="single" w:sz="4" w:space="0" w:color="auto"/>
            </w:tcBorders>
            <w:shd w:val="clear" w:color="auto" w:fill="auto"/>
            <w:noWrap/>
            <w:vAlign w:val="bottom"/>
            <w:hideMark/>
          </w:tcPr>
          <w:p w14:paraId="286179DE"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30</w:t>
            </w:r>
          </w:p>
        </w:tc>
        <w:tc>
          <w:tcPr>
            <w:tcW w:w="626" w:type="dxa"/>
            <w:tcBorders>
              <w:top w:val="nil"/>
              <w:left w:val="nil"/>
              <w:bottom w:val="single" w:sz="4" w:space="0" w:color="auto"/>
              <w:right w:val="single" w:sz="4" w:space="0" w:color="auto"/>
            </w:tcBorders>
            <w:shd w:val="clear" w:color="auto" w:fill="auto"/>
            <w:noWrap/>
            <w:vAlign w:val="bottom"/>
            <w:hideMark/>
          </w:tcPr>
          <w:p w14:paraId="3E8D09E6"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15</w:t>
            </w:r>
          </w:p>
        </w:tc>
        <w:tc>
          <w:tcPr>
            <w:tcW w:w="894" w:type="dxa"/>
            <w:tcBorders>
              <w:top w:val="nil"/>
              <w:left w:val="nil"/>
              <w:bottom w:val="single" w:sz="4" w:space="0" w:color="auto"/>
              <w:right w:val="single" w:sz="4" w:space="0" w:color="auto"/>
            </w:tcBorders>
            <w:shd w:val="clear" w:color="auto" w:fill="auto"/>
            <w:noWrap/>
            <w:vAlign w:val="bottom"/>
            <w:hideMark/>
          </w:tcPr>
          <w:p w14:paraId="43C184A3"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18</w:t>
            </w:r>
          </w:p>
        </w:tc>
        <w:tc>
          <w:tcPr>
            <w:tcW w:w="894" w:type="dxa"/>
            <w:tcBorders>
              <w:top w:val="nil"/>
              <w:left w:val="nil"/>
              <w:bottom w:val="single" w:sz="4" w:space="0" w:color="auto"/>
              <w:right w:val="single" w:sz="4" w:space="0" w:color="auto"/>
            </w:tcBorders>
            <w:shd w:val="clear" w:color="auto" w:fill="auto"/>
            <w:noWrap/>
            <w:vAlign w:val="bottom"/>
            <w:hideMark/>
          </w:tcPr>
          <w:p w14:paraId="720A3103"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12</w:t>
            </w:r>
          </w:p>
        </w:tc>
        <w:tc>
          <w:tcPr>
            <w:tcW w:w="1072" w:type="dxa"/>
            <w:tcBorders>
              <w:top w:val="nil"/>
              <w:left w:val="nil"/>
              <w:bottom w:val="single" w:sz="4" w:space="0" w:color="auto"/>
              <w:right w:val="single" w:sz="4" w:space="0" w:color="auto"/>
            </w:tcBorders>
            <w:shd w:val="clear" w:color="auto" w:fill="auto"/>
            <w:noWrap/>
            <w:vAlign w:val="bottom"/>
            <w:hideMark/>
          </w:tcPr>
          <w:p w14:paraId="0C072B17"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32</w:t>
            </w:r>
          </w:p>
        </w:tc>
        <w:tc>
          <w:tcPr>
            <w:tcW w:w="1251" w:type="dxa"/>
            <w:tcBorders>
              <w:top w:val="nil"/>
              <w:left w:val="nil"/>
              <w:bottom w:val="single" w:sz="4" w:space="0" w:color="auto"/>
              <w:right w:val="single" w:sz="4" w:space="0" w:color="auto"/>
            </w:tcBorders>
            <w:shd w:val="clear" w:color="auto" w:fill="auto"/>
            <w:noWrap/>
            <w:vAlign w:val="bottom"/>
            <w:hideMark/>
          </w:tcPr>
          <w:p w14:paraId="0A0CD385"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33</w:t>
            </w:r>
          </w:p>
        </w:tc>
        <w:tc>
          <w:tcPr>
            <w:tcW w:w="1162" w:type="dxa"/>
            <w:tcBorders>
              <w:top w:val="nil"/>
              <w:left w:val="nil"/>
              <w:bottom w:val="single" w:sz="4" w:space="0" w:color="auto"/>
              <w:right w:val="single" w:sz="4" w:space="0" w:color="auto"/>
            </w:tcBorders>
            <w:shd w:val="clear" w:color="auto" w:fill="auto"/>
            <w:noWrap/>
            <w:vAlign w:val="bottom"/>
            <w:hideMark/>
          </w:tcPr>
          <w:p w14:paraId="291B57B4"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2</w:t>
            </w:r>
          </w:p>
        </w:tc>
        <w:tc>
          <w:tcPr>
            <w:tcW w:w="985" w:type="dxa"/>
            <w:tcBorders>
              <w:top w:val="nil"/>
              <w:left w:val="nil"/>
              <w:bottom w:val="single" w:sz="4" w:space="0" w:color="auto"/>
              <w:right w:val="single" w:sz="4" w:space="0" w:color="auto"/>
            </w:tcBorders>
            <w:shd w:val="clear" w:color="auto" w:fill="auto"/>
            <w:noWrap/>
            <w:vAlign w:val="bottom"/>
            <w:hideMark/>
          </w:tcPr>
          <w:p w14:paraId="19006BAF" w14:textId="77777777" w:rsidR="00D00E56" w:rsidRPr="0010128E" w:rsidRDefault="00D00E56" w:rsidP="000B6A90">
            <w:pPr>
              <w:jc w:val="right"/>
              <w:rPr>
                <w:rFonts w:ascii="Times New Roman" w:eastAsia="Times New Roman" w:hAnsi="Times New Roman"/>
                <w:b/>
                <w:bCs/>
                <w:szCs w:val="22"/>
              </w:rPr>
            </w:pPr>
            <w:r w:rsidRPr="0010128E">
              <w:rPr>
                <w:rFonts w:ascii="Times New Roman" w:eastAsia="Times New Roman" w:hAnsi="Times New Roman"/>
                <w:b/>
                <w:bCs/>
                <w:szCs w:val="22"/>
              </w:rPr>
              <w:t>22</w:t>
            </w:r>
          </w:p>
        </w:tc>
      </w:tr>
      <w:tr w:rsidR="00665D43" w:rsidRPr="0010128E" w14:paraId="07CC7BF8" w14:textId="77777777" w:rsidTr="00744110">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83797EB" w14:textId="77777777" w:rsidR="00D00E56" w:rsidRPr="0010128E" w:rsidRDefault="00D00E56" w:rsidP="000B6A90">
            <w:pPr>
              <w:rPr>
                <w:rFonts w:ascii="Times New Roman" w:eastAsia="Times New Roman" w:hAnsi="Times New Roman"/>
                <w:b/>
                <w:bCs/>
                <w:szCs w:val="22"/>
              </w:rPr>
            </w:pPr>
            <w:r w:rsidRPr="0010128E">
              <w:rPr>
                <w:rFonts w:ascii="Times New Roman" w:eastAsia="Times New Roman" w:hAnsi="Times New Roman"/>
                <w:b/>
                <w:bCs/>
                <w:szCs w:val="22"/>
              </w:rPr>
              <w:t>Faith-based</w:t>
            </w:r>
          </w:p>
        </w:tc>
        <w:tc>
          <w:tcPr>
            <w:tcW w:w="984" w:type="dxa"/>
            <w:tcBorders>
              <w:top w:val="nil"/>
              <w:left w:val="nil"/>
              <w:bottom w:val="single" w:sz="4" w:space="0" w:color="auto"/>
              <w:right w:val="single" w:sz="4" w:space="0" w:color="auto"/>
            </w:tcBorders>
            <w:shd w:val="clear" w:color="auto" w:fill="auto"/>
            <w:noWrap/>
            <w:vAlign w:val="bottom"/>
            <w:hideMark/>
          </w:tcPr>
          <w:p w14:paraId="57CBD3DB"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49</w:t>
            </w:r>
          </w:p>
        </w:tc>
        <w:tc>
          <w:tcPr>
            <w:tcW w:w="983" w:type="dxa"/>
            <w:tcBorders>
              <w:top w:val="nil"/>
              <w:left w:val="nil"/>
              <w:bottom w:val="single" w:sz="4" w:space="0" w:color="auto"/>
              <w:right w:val="single" w:sz="4" w:space="0" w:color="auto"/>
            </w:tcBorders>
            <w:shd w:val="clear" w:color="auto" w:fill="auto"/>
            <w:noWrap/>
            <w:vAlign w:val="bottom"/>
            <w:hideMark/>
          </w:tcPr>
          <w:p w14:paraId="418B6F52"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78</w:t>
            </w:r>
          </w:p>
        </w:tc>
        <w:tc>
          <w:tcPr>
            <w:tcW w:w="1128" w:type="dxa"/>
            <w:tcBorders>
              <w:top w:val="nil"/>
              <w:left w:val="nil"/>
              <w:bottom w:val="single" w:sz="4" w:space="0" w:color="auto"/>
              <w:right w:val="single" w:sz="4" w:space="0" w:color="auto"/>
            </w:tcBorders>
            <w:shd w:val="clear" w:color="auto" w:fill="auto"/>
            <w:noWrap/>
            <w:vAlign w:val="bottom"/>
            <w:hideMark/>
          </w:tcPr>
          <w:p w14:paraId="1D3A72CF"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78</w:t>
            </w:r>
          </w:p>
        </w:tc>
        <w:tc>
          <w:tcPr>
            <w:tcW w:w="1195" w:type="dxa"/>
            <w:tcBorders>
              <w:top w:val="nil"/>
              <w:left w:val="nil"/>
              <w:bottom w:val="single" w:sz="4" w:space="0" w:color="auto"/>
              <w:right w:val="single" w:sz="4" w:space="0" w:color="auto"/>
            </w:tcBorders>
            <w:shd w:val="clear" w:color="auto" w:fill="auto"/>
            <w:noWrap/>
            <w:vAlign w:val="bottom"/>
            <w:hideMark/>
          </w:tcPr>
          <w:p w14:paraId="665336C1"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39</w:t>
            </w:r>
          </w:p>
        </w:tc>
        <w:tc>
          <w:tcPr>
            <w:tcW w:w="716" w:type="dxa"/>
            <w:tcBorders>
              <w:top w:val="nil"/>
              <w:left w:val="nil"/>
              <w:bottom w:val="single" w:sz="4" w:space="0" w:color="auto"/>
              <w:right w:val="single" w:sz="4" w:space="0" w:color="auto"/>
            </w:tcBorders>
            <w:shd w:val="clear" w:color="auto" w:fill="auto"/>
            <w:noWrap/>
            <w:vAlign w:val="bottom"/>
            <w:hideMark/>
          </w:tcPr>
          <w:p w14:paraId="216875DD"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83</w:t>
            </w:r>
          </w:p>
        </w:tc>
        <w:tc>
          <w:tcPr>
            <w:tcW w:w="626" w:type="dxa"/>
            <w:tcBorders>
              <w:top w:val="nil"/>
              <w:left w:val="nil"/>
              <w:bottom w:val="single" w:sz="4" w:space="0" w:color="auto"/>
              <w:right w:val="single" w:sz="4" w:space="0" w:color="auto"/>
            </w:tcBorders>
            <w:shd w:val="clear" w:color="auto" w:fill="auto"/>
            <w:noWrap/>
            <w:vAlign w:val="bottom"/>
            <w:hideMark/>
          </w:tcPr>
          <w:p w14:paraId="3F7E5A67"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59</w:t>
            </w:r>
          </w:p>
        </w:tc>
        <w:tc>
          <w:tcPr>
            <w:tcW w:w="894" w:type="dxa"/>
            <w:tcBorders>
              <w:top w:val="nil"/>
              <w:left w:val="nil"/>
              <w:bottom w:val="single" w:sz="4" w:space="0" w:color="auto"/>
              <w:right w:val="single" w:sz="4" w:space="0" w:color="auto"/>
            </w:tcBorders>
            <w:shd w:val="clear" w:color="auto" w:fill="auto"/>
            <w:noWrap/>
            <w:vAlign w:val="bottom"/>
            <w:hideMark/>
          </w:tcPr>
          <w:p w14:paraId="6D5F0751"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73</w:t>
            </w:r>
          </w:p>
        </w:tc>
        <w:tc>
          <w:tcPr>
            <w:tcW w:w="894" w:type="dxa"/>
            <w:tcBorders>
              <w:top w:val="nil"/>
              <w:left w:val="nil"/>
              <w:bottom w:val="single" w:sz="4" w:space="0" w:color="auto"/>
              <w:right w:val="single" w:sz="4" w:space="0" w:color="auto"/>
            </w:tcBorders>
            <w:shd w:val="clear" w:color="auto" w:fill="auto"/>
            <w:noWrap/>
            <w:vAlign w:val="bottom"/>
            <w:hideMark/>
          </w:tcPr>
          <w:p w14:paraId="71A8AFD3"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73</w:t>
            </w:r>
          </w:p>
        </w:tc>
        <w:tc>
          <w:tcPr>
            <w:tcW w:w="1072" w:type="dxa"/>
            <w:tcBorders>
              <w:top w:val="nil"/>
              <w:left w:val="nil"/>
              <w:bottom w:val="single" w:sz="4" w:space="0" w:color="auto"/>
              <w:right w:val="single" w:sz="4" w:space="0" w:color="auto"/>
            </w:tcBorders>
            <w:shd w:val="clear" w:color="auto" w:fill="auto"/>
            <w:noWrap/>
            <w:vAlign w:val="bottom"/>
            <w:hideMark/>
          </w:tcPr>
          <w:p w14:paraId="6F6E262A"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40</w:t>
            </w:r>
          </w:p>
        </w:tc>
        <w:tc>
          <w:tcPr>
            <w:tcW w:w="1251" w:type="dxa"/>
            <w:tcBorders>
              <w:top w:val="nil"/>
              <w:left w:val="nil"/>
              <w:bottom w:val="single" w:sz="4" w:space="0" w:color="auto"/>
              <w:right w:val="single" w:sz="4" w:space="0" w:color="auto"/>
            </w:tcBorders>
            <w:shd w:val="clear" w:color="auto" w:fill="auto"/>
            <w:noWrap/>
            <w:vAlign w:val="bottom"/>
            <w:hideMark/>
          </w:tcPr>
          <w:p w14:paraId="6FBB047A"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32</w:t>
            </w:r>
          </w:p>
        </w:tc>
        <w:tc>
          <w:tcPr>
            <w:tcW w:w="1162" w:type="dxa"/>
            <w:tcBorders>
              <w:top w:val="nil"/>
              <w:left w:val="nil"/>
              <w:bottom w:val="single" w:sz="4" w:space="0" w:color="auto"/>
              <w:right w:val="single" w:sz="4" w:space="0" w:color="auto"/>
            </w:tcBorders>
            <w:shd w:val="clear" w:color="auto" w:fill="auto"/>
            <w:noWrap/>
            <w:vAlign w:val="bottom"/>
            <w:hideMark/>
          </w:tcPr>
          <w:p w14:paraId="74A7B9D3" w14:textId="77777777" w:rsidR="00D00E56" w:rsidRPr="0010128E" w:rsidRDefault="00D00E56" w:rsidP="000B6A90">
            <w:pPr>
              <w:jc w:val="right"/>
              <w:rPr>
                <w:rFonts w:ascii="Times New Roman" w:eastAsia="Times New Roman" w:hAnsi="Times New Roman"/>
                <w:szCs w:val="22"/>
              </w:rPr>
            </w:pPr>
            <w:r w:rsidRPr="0010128E">
              <w:rPr>
                <w:rFonts w:ascii="Times New Roman" w:eastAsia="Times New Roman" w:hAnsi="Times New Roman"/>
                <w:szCs w:val="22"/>
              </w:rPr>
              <w:t>9</w:t>
            </w:r>
          </w:p>
        </w:tc>
        <w:tc>
          <w:tcPr>
            <w:tcW w:w="985" w:type="dxa"/>
            <w:tcBorders>
              <w:top w:val="nil"/>
              <w:left w:val="nil"/>
              <w:bottom w:val="single" w:sz="4" w:space="0" w:color="auto"/>
              <w:right w:val="single" w:sz="4" w:space="0" w:color="auto"/>
            </w:tcBorders>
            <w:shd w:val="clear" w:color="auto" w:fill="auto"/>
            <w:noWrap/>
            <w:vAlign w:val="bottom"/>
            <w:hideMark/>
          </w:tcPr>
          <w:p w14:paraId="6190B715" w14:textId="77777777" w:rsidR="00D00E56" w:rsidRPr="0010128E" w:rsidRDefault="00D00E56" w:rsidP="000B6A90">
            <w:pPr>
              <w:jc w:val="right"/>
              <w:rPr>
                <w:rFonts w:ascii="Times New Roman" w:eastAsia="Times New Roman" w:hAnsi="Times New Roman"/>
                <w:b/>
                <w:bCs/>
                <w:szCs w:val="22"/>
              </w:rPr>
            </w:pPr>
            <w:r w:rsidRPr="0010128E">
              <w:rPr>
                <w:rFonts w:ascii="Times New Roman" w:eastAsia="Times New Roman" w:hAnsi="Times New Roman"/>
                <w:b/>
                <w:bCs/>
                <w:szCs w:val="22"/>
              </w:rPr>
              <w:t>56</w:t>
            </w:r>
          </w:p>
        </w:tc>
      </w:tr>
      <w:tr w:rsidR="00D00E56" w:rsidRPr="0010128E" w14:paraId="40D392E8" w14:textId="77777777" w:rsidTr="00744110">
        <w:trPr>
          <w:trHeight w:val="300"/>
        </w:trPr>
        <w:tc>
          <w:tcPr>
            <w:tcW w:w="13335" w:type="dxa"/>
            <w:gridSpan w:val="13"/>
            <w:tcBorders>
              <w:top w:val="nil"/>
              <w:left w:val="nil"/>
              <w:bottom w:val="nil"/>
              <w:right w:val="nil"/>
            </w:tcBorders>
            <w:shd w:val="clear" w:color="auto" w:fill="auto"/>
            <w:noWrap/>
            <w:hideMark/>
          </w:tcPr>
          <w:p w14:paraId="4ABC9CAE" w14:textId="77777777" w:rsidR="00D00E56" w:rsidRPr="0010128E" w:rsidRDefault="00D00E56" w:rsidP="000B6A90">
            <w:pPr>
              <w:rPr>
                <w:rFonts w:ascii="Times New Roman" w:eastAsia="Times New Roman" w:hAnsi="Times New Roman"/>
                <w:szCs w:val="22"/>
              </w:rPr>
            </w:pPr>
            <w:r w:rsidRPr="0010128E">
              <w:rPr>
                <w:rFonts w:ascii="Times New Roman" w:eastAsia="Times New Roman" w:hAnsi="Times New Roman"/>
                <w:szCs w:val="22"/>
              </w:rPr>
              <w:t>*Outpatient services for sick children and for adult STIs, temporary methods of family planning, antenatal care</w:t>
            </w:r>
            <w:r w:rsidR="00A601E6" w:rsidRPr="0010128E">
              <w:rPr>
                <w:rFonts w:ascii="Times New Roman" w:eastAsia="Times New Roman" w:hAnsi="Times New Roman"/>
                <w:szCs w:val="22"/>
              </w:rPr>
              <w:t xml:space="preserve"> (ANC)</w:t>
            </w:r>
            <w:r w:rsidRPr="0010128E">
              <w:rPr>
                <w:rFonts w:ascii="Times New Roman" w:eastAsia="Times New Roman" w:hAnsi="Times New Roman"/>
                <w:szCs w:val="22"/>
              </w:rPr>
              <w:t>, immunization, and child growth monitoring.</w:t>
            </w:r>
          </w:p>
        </w:tc>
      </w:tr>
    </w:tbl>
    <w:p w14:paraId="0FB7A401" w14:textId="131B8EB0" w:rsidR="00A601E6" w:rsidRPr="0010128E" w:rsidRDefault="006D118E" w:rsidP="00D00E56">
      <w:pPr>
        <w:rPr>
          <w:rFonts w:ascii="Times New Roman" w:hAnsi="Times New Roman"/>
          <w:sz w:val="20"/>
          <w:szCs w:val="20"/>
        </w:rPr>
      </w:pPr>
      <w:r w:rsidRPr="0010128E">
        <w:rPr>
          <w:rFonts w:ascii="Times New Roman" w:hAnsi="Times New Roman"/>
          <w:sz w:val="20"/>
          <w:szCs w:val="20"/>
        </w:rPr>
        <w:t>Table Note: 91% of all government facilities provide all basic services</w:t>
      </w:r>
    </w:p>
    <w:p w14:paraId="131B660D" w14:textId="77777777" w:rsidR="00665D43" w:rsidRPr="0010128E" w:rsidRDefault="00D00E56" w:rsidP="00D00E56">
      <w:pPr>
        <w:rPr>
          <w:rFonts w:ascii="Times New Roman" w:hAnsi="Times New Roman"/>
          <w:sz w:val="20"/>
          <w:szCs w:val="20"/>
        </w:rPr>
        <w:sectPr w:rsidR="00665D43" w:rsidRPr="0010128E" w:rsidSect="00665D43">
          <w:pgSz w:w="15840" w:h="12240" w:orient="landscape"/>
          <w:pgMar w:top="1440" w:right="1440" w:bottom="1440" w:left="1440" w:header="720" w:footer="720" w:gutter="0"/>
          <w:cols w:space="720"/>
          <w:docGrid w:linePitch="360"/>
        </w:sectPr>
      </w:pPr>
      <w:r w:rsidRPr="0010128E">
        <w:rPr>
          <w:rFonts w:ascii="Times New Roman" w:hAnsi="Times New Roman"/>
          <w:sz w:val="20"/>
          <w:szCs w:val="20"/>
        </w:rPr>
        <w:t>Source: National Bureau of Statistics (NBS) [Tanzania] and Macro International Inc. (2007)</w:t>
      </w:r>
    </w:p>
    <w:p w14:paraId="1D26B03B" w14:textId="77777777" w:rsidR="00D00E56" w:rsidRPr="0010128E" w:rsidRDefault="00941F33" w:rsidP="00330E45">
      <w:pPr>
        <w:pStyle w:val="Heading2"/>
      </w:pPr>
      <w:bookmarkStart w:id="19" w:name="_Toc206320786"/>
      <w:r w:rsidRPr="0010128E">
        <w:t xml:space="preserve">Findings: </w:t>
      </w:r>
      <w:r w:rsidR="00665D43" w:rsidRPr="0010128E">
        <w:t xml:space="preserve">Changes in </w:t>
      </w:r>
      <w:r w:rsidR="00D00E56" w:rsidRPr="0010128E">
        <w:t>Health Status</w:t>
      </w:r>
      <w:bookmarkEnd w:id="19"/>
    </w:p>
    <w:p w14:paraId="7043810D" w14:textId="77777777" w:rsidR="00D00E56" w:rsidRPr="0010128E" w:rsidRDefault="00D00E56" w:rsidP="00D00E56">
      <w:pPr>
        <w:rPr>
          <w:rFonts w:ascii="Times New Roman" w:hAnsi="Times New Roman"/>
          <w:sz w:val="24"/>
        </w:rPr>
      </w:pPr>
    </w:p>
    <w:p w14:paraId="68BAC3B6" w14:textId="77777777" w:rsidR="00733494" w:rsidRPr="0010128E" w:rsidRDefault="00665D43" w:rsidP="0005076C">
      <w:pPr>
        <w:spacing w:line="480" w:lineRule="auto"/>
        <w:ind w:firstLine="720"/>
        <w:rPr>
          <w:rFonts w:ascii="Times New Roman" w:hAnsi="Times New Roman"/>
          <w:sz w:val="24"/>
        </w:rPr>
      </w:pPr>
      <w:r w:rsidRPr="0010128E">
        <w:rPr>
          <w:rFonts w:ascii="Times New Roman" w:hAnsi="Times New Roman"/>
          <w:sz w:val="24"/>
        </w:rPr>
        <w:t xml:space="preserve">To evaluate their use of scarce resources in the improvement of health, </w:t>
      </w:r>
      <w:r w:rsidR="00AA186E" w:rsidRPr="0010128E">
        <w:rPr>
          <w:rFonts w:ascii="Times New Roman" w:hAnsi="Times New Roman"/>
          <w:sz w:val="24"/>
        </w:rPr>
        <w:t>below</w:t>
      </w:r>
      <w:r w:rsidRPr="0010128E">
        <w:rPr>
          <w:rFonts w:ascii="Times New Roman" w:hAnsi="Times New Roman"/>
          <w:sz w:val="24"/>
        </w:rPr>
        <w:t xml:space="preserve"> is a collection of tables reflecting trends in health status. </w:t>
      </w:r>
      <w:r w:rsidR="00733494" w:rsidRPr="0010128E">
        <w:rPr>
          <w:rFonts w:ascii="Times New Roman" w:hAnsi="Times New Roman"/>
          <w:sz w:val="24"/>
        </w:rPr>
        <w:t>These health indicators have been chosen because of their relation to PHC services. In general, PHC services focus on maternal and child health, family planning (i.e. contraceptives) and certain diseases such as HIV. The availability of data also limited which health indicators are displayed.</w:t>
      </w:r>
    </w:p>
    <w:p w14:paraId="5FF2FDD9" w14:textId="77777777" w:rsidR="00665D43" w:rsidRPr="0010128E" w:rsidRDefault="00665D43" w:rsidP="0005076C">
      <w:pPr>
        <w:spacing w:line="480" w:lineRule="auto"/>
        <w:ind w:firstLine="720"/>
        <w:rPr>
          <w:rFonts w:ascii="Times New Roman" w:hAnsi="Times New Roman"/>
          <w:sz w:val="24"/>
        </w:rPr>
      </w:pPr>
      <w:r w:rsidRPr="0010128E">
        <w:rPr>
          <w:rFonts w:ascii="Times New Roman" w:hAnsi="Times New Roman"/>
          <w:sz w:val="24"/>
        </w:rPr>
        <w:t xml:space="preserve">Since 1967, there have been clear improvements in both life expectancy and infant mortality rates. Additionally, the positive trends in women’s health (contraceptive use and antenatal visits) and decline of HIV prevalence since the 1990s demonstrate overall improvements in the health status of Tanzanians. Short of increases in external funding, public policy and health trends demonstrate that Tanzania is on a positive path towards increasing primary health care for all. </w:t>
      </w:r>
    </w:p>
    <w:p w14:paraId="08015AC8" w14:textId="0FA7808A" w:rsidR="00D00E56" w:rsidRPr="0010128E" w:rsidRDefault="000537C4" w:rsidP="00D00E56">
      <w:pPr>
        <w:spacing w:line="480" w:lineRule="auto"/>
        <w:ind w:firstLine="720"/>
        <w:rPr>
          <w:rFonts w:ascii="Times New Roman" w:hAnsi="Times New Roman"/>
          <w:sz w:val="24"/>
        </w:rPr>
      </w:pPr>
      <w:r w:rsidRPr="0010128E">
        <w:rPr>
          <w:rFonts w:ascii="Times New Roman" w:hAnsi="Times New Roman"/>
          <w:sz w:val="24"/>
        </w:rPr>
        <w:t xml:space="preserve">As shown in Figure </w:t>
      </w:r>
      <w:r w:rsidR="00A601E6" w:rsidRPr="0010128E">
        <w:rPr>
          <w:rFonts w:ascii="Times New Roman" w:hAnsi="Times New Roman"/>
          <w:sz w:val="24"/>
        </w:rPr>
        <w:t>5</w:t>
      </w:r>
      <w:r w:rsidRPr="0010128E">
        <w:rPr>
          <w:rFonts w:ascii="Times New Roman" w:hAnsi="Times New Roman"/>
          <w:sz w:val="24"/>
        </w:rPr>
        <w:t>, l</w:t>
      </w:r>
      <w:r w:rsidR="00D00E56" w:rsidRPr="0010128E">
        <w:rPr>
          <w:rFonts w:ascii="Times New Roman" w:hAnsi="Times New Roman"/>
          <w:sz w:val="24"/>
        </w:rPr>
        <w:t xml:space="preserve">ife expectancy </w:t>
      </w:r>
      <w:r w:rsidRPr="0010128E">
        <w:rPr>
          <w:rFonts w:ascii="Times New Roman" w:hAnsi="Times New Roman"/>
          <w:sz w:val="24"/>
        </w:rPr>
        <w:t>saw some stagnation in the 1990s, but has shown improvement since 2002.</w:t>
      </w:r>
      <w:r w:rsidR="00D00E56" w:rsidRPr="0010128E">
        <w:rPr>
          <w:rFonts w:ascii="Times New Roman" w:hAnsi="Times New Roman"/>
          <w:sz w:val="24"/>
        </w:rPr>
        <w:t xml:space="preserve"> Infant mortality </w:t>
      </w:r>
      <w:r w:rsidR="00733494" w:rsidRPr="0010128E">
        <w:rPr>
          <w:rFonts w:ascii="Times New Roman" w:hAnsi="Times New Roman"/>
          <w:sz w:val="24"/>
        </w:rPr>
        <w:t>(Figure 5</w:t>
      </w:r>
      <w:r w:rsidRPr="0010128E">
        <w:rPr>
          <w:rFonts w:ascii="Times New Roman" w:hAnsi="Times New Roman"/>
          <w:sz w:val="24"/>
        </w:rPr>
        <w:t xml:space="preserve">) </w:t>
      </w:r>
      <w:r w:rsidR="00D00E56" w:rsidRPr="0010128E">
        <w:rPr>
          <w:rFonts w:ascii="Times New Roman" w:hAnsi="Times New Roman"/>
          <w:sz w:val="24"/>
        </w:rPr>
        <w:t xml:space="preserve">has </w:t>
      </w:r>
      <w:r w:rsidRPr="0010128E">
        <w:rPr>
          <w:rFonts w:ascii="Times New Roman" w:hAnsi="Times New Roman"/>
          <w:sz w:val="24"/>
        </w:rPr>
        <w:t xml:space="preserve">also </w:t>
      </w:r>
      <w:r w:rsidR="00D00E56" w:rsidRPr="0010128E">
        <w:rPr>
          <w:rFonts w:ascii="Times New Roman" w:hAnsi="Times New Roman"/>
          <w:sz w:val="24"/>
        </w:rPr>
        <w:t xml:space="preserve">seen positive gains, decreasing from 147 deaths/1,000 live births in 1999 to 112 deaths/1,000 live births in 2005.  Under-five mortality </w:t>
      </w:r>
      <w:r w:rsidRPr="0010128E">
        <w:rPr>
          <w:rFonts w:ascii="Times New Roman" w:hAnsi="Times New Roman"/>
          <w:sz w:val="24"/>
        </w:rPr>
        <w:t xml:space="preserve">(not shown) </w:t>
      </w:r>
      <w:r w:rsidR="00D00E56" w:rsidRPr="0010128E">
        <w:rPr>
          <w:rFonts w:ascii="Times New Roman" w:hAnsi="Times New Roman"/>
          <w:sz w:val="24"/>
        </w:rPr>
        <w:t xml:space="preserve">also decreased between 1978 and 2002, from 231 to 162 per 1,000 live births. Mtei and Borghi </w:t>
      </w:r>
      <w:r w:rsidRPr="0010128E">
        <w:rPr>
          <w:rFonts w:ascii="Times New Roman" w:hAnsi="Times New Roman"/>
          <w:sz w:val="24"/>
        </w:rPr>
        <w:t>(</w:t>
      </w:r>
      <w:r w:rsidR="00D00E56" w:rsidRPr="0010128E">
        <w:rPr>
          <w:rFonts w:ascii="Times New Roman" w:hAnsi="Times New Roman"/>
          <w:sz w:val="24"/>
        </w:rPr>
        <w:t>2007</w:t>
      </w:r>
      <w:r w:rsidRPr="0010128E">
        <w:rPr>
          <w:rFonts w:ascii="Times New Roman" w:hAnsi="Times New Roman"/>
          <w:sz w:val="24"/>
        </w:rPr>
        <w:t>) suggest</w:t>
      </w:r>
      <w:r w:rsidR="00D00E56" w:rsidRPr="0010128E">
        <w:rPr>
          <w:rFonts w:ascii="Times New Roman" w:hAnsi="Times New Roman"/>
          <w:sz w:val="24"/>
        </w:rPr>
        <w:t xml:space="preserve"> that the declining trend in child mortality could be attributed to improved malaria control – both the increased use of mosquito nets as well as improved curative care through more effective drug treatment.  Malaria and anemia remain the main causes of under-five child mortality at 48% and 10% respectively in 2004. </w:t>
      </w:r>
    </w:p>
    <w:p w14:paraId="3704622E" w14:textId="1294D51A" w:rsidR="00141F0D" w:rsidRPr="0010128E" w:rsidRDefault="00864CD1" w:rsidP="00B6243B">
      <w:pPr>
        <w:keepNext/>
        <w:spacing w:line="480" w:lineRule="auto"/>
        <w:rPr>
          <w:rFonts w:ascii="Times New Roman" w:hAnsi="Times New Roman"/>
        </w:rPr>
      </w:pPr>
      <w:r w:rsidRPr="0010128E">
        <w:rPr>
          <w:rFonts w:ascii="Times New Roman" w:hAnsi="Times New Roman"/>
          <w:noProof/>
        </w:rPr>
        <w:drawing>
          <wp:inline distT="0" distB="0" distL="0" distR="0" wp14:anchorId="72C009CE" wp14:editId="63919CF6">
            <wp:extent cx="5250094" cy="3626778"/>
            <wp:effectExtent l="0" t="0" r="33655" b="311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37490A" w14:textId="603D4B08" w:rsidR="00665D43" w:rsidRPr="0010128E" w:rsidRDefault="00141F0D" w:rsidP="00744110">
      <w:pPr>
        <w:pStyle w:val="Caption"/>
        <w:spacing w:after="0"/>
        <w:rPr>
          <w:rFonts w:ascii="Times New Roman" w:hAnsi="Times New Roman"/>
          <w:color w:val="auto"/>
          <w:sz w:val="20"/>
          <w:szCs w:val="20"/>
        </w:rPr>
      </w:pPr>
      <w:r w:rsidRPr="0010128E">
        <w:rPr>
          <w:rFonts w:ascii="Times New Roman" w:hAnsi="Times New Roman"/>
          <w:color w:val="auto"/>
          <w:sz w:val="20"/>
          <w:szCs w:val="20"/>
        </w:rPr>
        <w:t xml:space="preserve">Figure </w:t>
      </w:r>
      <w:r w:rsidR="00733494" w:rsidRPr="0010128E">
        <w:rPr>
          <w:rFonts w:ascii="Times New Roman" w:hAnsi="Times New Roman"/>
          <w:color w:val="auto"/>
          <w:sz w:val="20"/>
          <w:szCs w:val="20"/>
        </w:rPr>
        <w:t>5</w:t>
      </w:r>
      <w:r w:rsidR="00864CD1" w:rsidRPr="0010128E">
        <w:rPr>
          <w:rFonts w:ascii="Times New Roman" w:hAnsi="Times New Roman"/>
          <w:color w:val="auto"/>
          <w:sz w:val="20"/>
          <w:szCs w:val="20"/>
        </w:rPr>
        <w:t xml:space="preserve"> Life Expectancy and Mortality Rates in Tanzania</w:t>
      </w:r>
    </w:p>
    <w:p w14:paraId="69F9E5AA" w14:textId="4E715DF8" w:rsidR="00665D43" w:rsidRPr="0010128E" w:rsidRDefault="00665D43" w:rsidP="0019567F">
      <w:pPr>
        <w:rPr>
          <w:rFonts w:ascii="Times New Roman" w:hAnsi="Times New Roman"/>
          <w:sz w:val="20"/>
          <w:szCs w:val="20"/>
        </w:rPr>
      </w:pPr>
      <w:r w:rsidRPr="0010128E">
        <w:rPr>
          <w:rFonts w:ascii="Times New Roman" w:hAnsi="Times New Roman"/>
          <w:sz w:val="20"/>
          <w:szCs w:val="20"/>
        </w:rPr>
        <w:t>Source: W</w:t>
      </w:r>
      <w:r w:rsidR="0019567F" w:rsidRPr="0010128E">
        <w:rPr>
          <w:rFonts w:ascii="Times New Roman" w:hAnsi="Times New Roman"/>
          <w:sz w:val="20"/>
          <w:szCs w:val="20"/>
        </w:rPr>
        <w:t xml:space="preserve">orld </w:t>
      </w:r>
      <w:r w:rsidRPr="0010128E">
        <w:rPr>
          <w:rFonts w:ascii="Times New Roman" w:hAnsi="Times New Roman"/>
          <w:sz w:val="20"/>
          <w:szCs w:val="20"/>
        </w:rPr>
        <w:t>D</w:t>
      </w:r>
      <w:r w:rsidR="0019567F" w:rsidRPr="0010128E">
        <w:rPr>
          <w:rFonts w:ascii="Times New Roman" w:hAnsi="Times New Roman"/>
          <w:sz w:val="20"/>
          <w:szCs w:val="20"/>
        </w:rPr>
        <w:t xml:space="preserve">evelopment </w:t>
      </w:r>
      <w:r w:rsidRPr="0010128E">
        <w:rPr>
          <w:rFonts w:ascii="Times New Roman" w:hAnsi="Times New Roman"/>
          <w:sz w:val="20"/>
          <w:szCs w:val="20"/>
        </w:rPr>
        <w:t>I</w:t>
      </w:r>
      <w:r w:rsidR="0019567F" w:rsidRPr="0010128E">
        <w:rPr>
          <w:rFonts w:ascii="Times New Roman" w:hAnsi="Times New Roman"/>
          <w:sz w:val="20"/>
          <w:szCs w:val="20"/>
        </w:rPr>
        <w:t>ndicators (WDI)</w:t>
      </w:r>
      <w:r w:rsidRPr="0010128E">
        <w:rPr>
          <w:rFonts w:ascii="Times New Roman" w:hAnsi="Times New Roman"/>
          <w:sz w:val="20"/>
          <w:szCs w:val="20"/>
        </w:rPr>
        <w:t>, Health Systems 20/20 Database (USAID)</w:t>
      </w:r>
    </w:p>
    <w:p w14:paraId="32EC8D37" w14:textId="77777777" w:rsidR="00665D43" w:rsidRPr="0010128E" w:rsidRDefault="00665D43" w:rsidP="00D00E56">
      <w:pPr>
        <w:spacing w:line="480" w:lineRule="auto"/>
        <w:ind w:firstLine="720"/>
        <w:rPr>
          <w:rFonts w:ascii="Times New Roman" w:hAnsi="Times New Roman"/>
          <w:sz w:val="24"/>
        </w:rPr>
      </w:pPr>
    </w:p>
    <w:p w14:paraId="6364B8D4" w14:textId="77777777" w:rsidR="00B6243B" w:rsidRDefault="00B6243B">
      <w:pPr>
        <w:rPr>
          <w:rFonts w:ascii="Times New Roman" w:hAnsi="Times New Roman"/>
          <w:sz w:val="24"/>
        </w:rPr>
      </w:pPr>
      <w:r>
        <w:rPr>
          <w:rFonts w:ascii="Times New Roman" w:hAnsi="Times New Roman"/>
          <w:sz w:val="24"/>
        </w:rPr>
        <w:br w:type="page"/>
      </w:r>
    </w:p>
    <w:p w14:paraId="2A1389AA" w14:textId="4A9500C5" w:rsidR="00B6243B" w:rsidRDefault="00D00E56" w:rsidP="00B6243B">
      <w:pPr>
        <w:spacing w:line="480" w:lineRule="auto"/>
        <w:ind w:firstLine="720"/>
        <w:rPr>
          <w:rFonts w:ascii="Times New Roman" w:hAnsi="Times New Roman"/>
          <w:sz w:val="24"/>
        </w:rPr>
      </w:pPr>
      <w:r w:rsidRPr="0010128E">
        <w:rPr>
          <w:rFonts w:ascii="Times New Roman" w:hAnsi="Times New Roman"/>
          <w:sz w:val="24"/>
        </w:rPr>
        <w:t xml:space="preserve">Tanzania’s HIV prevalence rate </w:t>
      </w:r>
      <w:r w:rsidR="00514133" w:rsidRPr="0010128E">
        <w:rPr>
          <w:rFonts w:ascii="Times New Roman" w:hAnsi="Times New Roman"/>
          <w:sz w:val="24"/>
        </w:rPr>
        <w:t>saw a peak in the latter</w:t>
      </w:r>
      <w:r w:rsidR="00733494" w:rsidRPr="0010128E">
        <w:rPr>
          <w:rFonts w:ascii="Times New Roman" w:hAnsi="Times New Roman"/>
          <w:sz w:val="24"/>
        </w:rPr>
        <w:t xml:space="preserve"> part of the 1990s (see Figure 6</w:t>
      </w:r>
      <w:r w:rsidR="00514133" w:rsidRPr="0010128E">
        <w:rPr>
          <w:rFonts w:ascii="Times New Roman" w:hAnsi="Times New Roman"/>
          <w:sz w:val="24"/>
        </w:rPr>
        <w:t>), but has shown significant decline since. This can be largely attributed to the extensive donor funding geared toward HIV and AIDS control. T</w:t>
      </w:r>
      <w:r w:rsidRPr="0010128E">
        <w:rPr>
          <w:rFonts w:ascii="Times New Roman" w:hAnsi="Times New Roman"/>
          <w:sz w:val="24"/>
        </w:rPr>
        <w:t xml:space="preserve">he country received approximately $130 million in Fiscal Year (FY) 2006 from the President’s Emergency Plan for AIDS Relief (PEPFAR) and approximately $27 million for FY 2007 from the President’s Malaria Initiative (PMI).  </w:t>
      </w:r>
    </w:p>
    <w:p w14:paraId="78C64A59" w14:textId="77777777" w:rsidR="00642F4A" w:rsidRPr="0010128E" w:rsidRDefault="00642F4A" w:rsidP="00B6243B">
      <w:pPr>
        <w:spacing w:line="480" w:lineRule="auto"/>
        <w:ind w:firstLine="720"/>
        <w:rPr>
          <w:rFonts w:ascii="Times New Roman" w:hAnsi="Times New Roman"/>
          <w:sz w:val="24"/>
        </w:rPr>
      </w:pPr>
    </w:p>
    <w:p w14:paraId="64362F6D" w14:textId="6BBDEE2F" w:rsidR="00141F0D" w:rsidRPr="0010128E" w:rsidRDefault="00B93D19" w:rsidP="00B6243B">
      <w:pPr>
        <w:keepNext/>
        <w:spacing w:line="480" w:lineRule="auto"/>
        <w:rPr>
          <w:rFonts w:ascii="Times New Roman" w:hAnsi="Times New Roman"/>
        </w:rPr>
      </w:pPr>
      <w:r w:rsidRPr="0010128E">
        <w:rPr>
          <w:rFonts w:ascii="Times New Roman" w:hAnsi="Times New Roman"/>
          <w:noProof/>
        </w:rPr>
        <w:drawing>
          <wp:inline distT="0" distB="0" distL="0" distR="0" wp14:anchorId="70677822" wp14:editId="6E29D28E">
            <wp:extent cx="5229546" cy="3287730"/>
            <wp:effectExtent l="0" t="0" r="2857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C661E9" w14:textId="77777777" w:rsidR="00665D43" w:rsidRPr="0010128E" w:rsidRDefault="00141F0D" w:rsidP="0019567F">
      <w:pPr>
        <w:pStyle w:val="Caption"/>
        <w:spacing w:after="0"/>
        <w:rPr>
          <w:rFonts w:ascii="Times New Roman" w:hAnsi="Times New Roman"/>
          <w:color w:val="auto"/>
          <w:sz w:val="20"/>
          <w:szCs w:val="20"/>
        </w:rPr>
      </w:pPr>
      <w:r w:rsidRPr="0010128E">
        <w:rPr>
          <w:rFonts w:ascii="Times New Roman" w:hAnsi="Times New Roman"/>
          <w:color w:val="auto"/>
          <w:sz w:val="20"/>
          <w:szCs w:val="20"/>
        </w:rPr>
        <w:t xml:space="preserve">Figure </w:t>
      </w:r>
      <w:r w:rsidR="00733494" w:rsidRPr="0010128E">
        <w:rPr>
          <w:rFonts w:ascii="Times New Roman" w:hAnsi="Times New Roman"/>
          <w:color w:val="auto"/>
          <w:sz w:val="20"/>
          <w:szCs w:val="20"/>
        </w:rPr>
        <w:t>6</w:t>
      </w:r>
    </w:p>
    <w:p w14:paraId="0EA6DE0C" w14:textId="77777777" w:rsidR="00665D43" w:rsidRPr="0010128E" w:rsidRDefault="00665D43" w:rsidP="0019567F">
      <w:pPr>
        <w:rPr>
          <w:rFonts w:ascii="Times New Roman" w:hAnsi="Times New Roman"/>
          <w:sz w:val="20"/>
          <w:szCs w:val="20"/>
        </w:rPr>
      </w:pPr>
      <w:r w:rsidRPr="0010128E">
        <w:rPr>
          <w:rFonts w:ascii="Times New Roman" w:hAnsi="Times New Roman"/>
          <w:sz w:val="20"/>
          <w:szCs w:val="20"/>
        </w:rPr>
        <w:t>Source: UNAIDS, Health Systems 20/20 Database (USAID)</w:t>
      </w:r>
      <w:r w:rsidR="00AE4ABF" w:rsidRPr="0010128E">
        <w:rPr>
          <w:rFonts w:ascii="Times New Roman" w:hAnsi="Times New Roman"/>
          <w:noProof/>
          <w:sz w:val="20"/>
          <w:szCs w:val="20"/>
        </w:rPr>
        <w:t xml:space="preserve"> (USAID, 2012)</w:t>
      </w:r>
    </w:p>
    <w:p w14:paraId="32A120E4" w14:textId="77777777" w:rsidR="00665D43" w:rsidRPr="0010128E" w:rsidRDefault="00665D43" w:rsidP="00D00E56">
      <w:pPr>
        <w:spacing w:line="480" w:lineRule="auto"/>
        <w:ind w:firstLine="720"/>
        <w:rPr>
          <w:rFonts w:ascii="Times New Roman" w:hAnsi="Times New Roman"/>
          <w:sz w:val="24"/>
        </w:rPr>
      </w:pPr>
    </w:p>
    <w:p w14:paraId="7F2A1EE8" w14:textId="77777777" w:rsidR="00B6243B" w:rsidRDefault="00B6243B" w:rsidP="00A17573">
      <w:pPr>
        <w:spacing w:line="480" w:lineRule="auto"/>
        <w:rPr>
          <w:rFonts w:ascii="Times New Roman" w:hAnsi="Times New Roman"/>
          <w:sz w:val="24"/>
        </w:rPr>
      </w:pPr>
    </w:p>
    <w:p w14:paraId="68150E11" w14:textId="77777777" w:rsidR="00B6243B" w:rsidRDefault="00B6243B">
      <w:pPr>
        <w:rPr>
          <w:rFonts w:ascii="Times New Roman" w:hAnsi="Times New Roman"/>
          <w:sz w:val="24"/>
        </w:rPr>
      </w:pPr>
      <w:r>
        <w:rPr>
          <w:rFonts w:ascii="Times New Roman" w:hAnsi="Times New Roman"/>
          <w:sz w:val="24"/>
        </w:rPr>
        <w:br w:type="page"/>
      </w:r>
    </w:p>
    <w:p w14:paraId="6A779CF3" w14:textId="096AFA68" w:rsidR="00366DBD" w:rsidRPr="0010128E" w:rsidRDefault="00514133" w:rsidP="00B6243B">
      <w:pPr>
        <w:spacing w:line="480" w:lineRule="auto"/>
        <w:ind w:firstLine="720"/>
        <w:rPr>
          <w:rFonts w:ascii="Times New Roman" w:hAnsi="Times New Roman"/>
          <w:sz w:val="24"/>
        </w:rPr>
      </w:pPr>
      <w:r w:rsidRPr="0010128E">
        <w:rPr>
          <w:rFonts w:ascii="Times New Roman" w:hAnsi="Times New Roman"/>
          <w:sz w:val="24"/>
        </w:rPr>
        <w:t>Women’s health in Tanzania has also</w:t>
      </w:r>
      <w:r w:rsidR="00733494" w:rsidRPr="0010128E">
        <w:rPr>
          <w:rFonts w:ascii="Times New Roman" w:hAnsi="Times New Roman"/>
          <w:sz w:val="24"/>
        </w:rPr>
        <w:t xml:space="preserve"> seen improvements (see Figure 7</w:t>
      </w:r>
      <w:r w:rsidRPr="0010128E">
        <w:rPr>
          <w:rFonts w:ascii="Times New Roman" w:hAnsi="Times New Roman"/>
          <w:sz w:val="24"/>
        </w:rPr>
        <w:t xml:space="preserve">) in terms of contraceptive prevalence and pregnant women who received at least one </w:t>
      </w:r>
      <w:r w:rsidR="00A17573" w:rsidRPr="0010128E">
        <w:rPr>
          <w:rFonts w:ascii="Times New Roman" w:hAnsi="Times New Roman"/>
          <w:sz w:val="24"/>
        </w:rPr>
        <w:t>antenatal visits. However, the existing data on antenatal visits is somewhat old (2004)</w:t>
      </w:r>
      <w:r w:rsidR="00B46355" w:rsidRPr="0010128E">
        <w:rPr>
          <w:rFonts w:ascii="Times New Roman" w:hAnsi="Times New Roman"/>
          <w:sz w:val="24"/>
        </w:rPr>
        <w:t>.</w:t>
      </w:r>
      <w:r w:rsidR="00A17573" w:rsidRPr="0010128E">
        <w:rPr>
          <w:rFonts w:ascii="Times New Roman" w:hAnsi="Times New Roman"/>
          <w:sz w:val="24"/>
        </w:rPr>
        <w:t xml:space="preserve"> </w:t>
      </w:r>
      <w:r w:rsidR="00B46355" w:rsidRPr="0010128E">
        <w:rPr>
          <w:rFonts w:ascii="Times New Roman" w:hAnsi="Times New Roman"/>
          <w:sz w:val="24"/>
        </w:rPr>
        <w:t xml:space="preserve">While the contraceptive use data is relatively up to date (2010), </w:t>
      </w:r>
      <w:r w:rsidR="00A17573" w:rsidRPr="0010128E">
        <w:rPr>
          <w:rFonts w:ascii="Times New Roman" w:hAnsi="Times New Roman"/>
          <w:sz w:val="24"/>
        </w:rPr>
        <w:t>there</w:t>
      </w:r>
      <w:r w:rsidRPr="0010128E">
        <w:rPr>
          <w:rFonts w:ascii="Times New Roman" w:hAnsi="Times New Roman"/>
          <w:sz w:val="24"/>
        </w:rPr>
        <w:t xml:space="preserve"> is certainly room for improvement as </w:t>
      </w:r>
      <w:r w:rsidR="00B46355" w:rsidRPr="0010128E">
        <w:rPr>
          <w:rFonts w:ascii="Times New Roman" w:hAnsi="Times New Roman"/>
          <w:sz w:val="24"/>
        </w:rPr>
        <w:t>it</w:t>
      </w:r>
      <w:r w:rsidRPr="0010128E">
        <w:rPr>
          <w:rFonts w:ascii="Times New Roman" w:hAnsi="Times New Roman"/>
          <w:sz w:val="24"/>
        </w:rPr>
        <w:t xml:space="preserve"> is still belo</w:t>
      </w:r>
      <w:r w:rsidR="00A17573" w:rsidRPr="0010128E">
        <w:rPr>
          <w:rFonts w:ascii="Times New Roman" w:hAnsi="Times New Roman"/>
          <w:sz w:val="24"/>
        </w:rPr>
        <w:t xml:space="preserve">w 40%. </w:t>
      </w:r>
    </w:p>
    <w:p w14:paraId="09CCF31E" w14:textId="6DF2C008" w:rsidR="00141F0D" w:rsidRPr="0010128E" w:rsidRDefault="00B93D19" w:rsidP="00141F0D">
      <w:pPr>
        <w:keepNext/>
        <w:rPr>
          <w:rFonts w:ascii="Times New Roman" w:hAnsi="Times New Roman"/>
        </w:rPr>
      </w:pPr>
      <w:r w:rsidRPr="0010128E">
        <w:rPr>
          <w:rFonts w:ascii="Times New Roman" w:hAnsi="Times New Roman"/>
          <w:noProof/>
        </w:rPr>
        <w:drawing>
          <wp:inline distT="0" distB="0" distL="0" distR="0" wp14:anchorId="14BDE553" wp14:editId="7F4DE55A">
            <wp:extent cx="5682343" cy="3243943"/>
            <wp:effectExtent l="0" t="0" r="33020" b="330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977B66" w14:textId="77777777" w:rsidR="00366DBD" w:rsidRPr="0010128E" w:rsidRDefault="00141F0D" w:rsidP="00BD4068">
      <w:pPr>
        <w:pStyle w:val="Caption"/>
        <w:spacing w:after="0"/>
        <w:rPr>
          <w:rFonts w:ascii="Times New Roman" w:hAnsi="Times New Roman"/>
          <w:color w:val="auto"/>
          <w:sz w:val="20"/>
          <w:szCs w:val="20"/>
        </w:rPr>
      </w:pPr>
      <w:r w:rsidRPr="0010128E">
        <w:rPr>
          <w:rFonts w:ascii="Times New Roman" w:hAnsi="Times New Roman"/>
          <w:color w:val="auto"/>
          <w:sz w:val="20"/>
          <w:szCs w:val="20"/>
        </w:rPr>
        <w:t xml:space="preserve">Figure </w:t>
      </w:r>
      <w:r w:rsidR="00733494" w:rsidRPr="0010128E">
        <w:rPr>
          <w:rFonts w:ascii="Times New Roman" w:hAnsi="Times New Roman"/>
          <w:color w:val="auto"/>
          <w:sz w:val="20"/>
          <w:szCs w:val="20"/>
        </w:rPr>
        <w:t>7</w:t>
      </w:r>
    </w:p>
    <w:p w14:paraId="766A2808" w14:textId="53DEF14B" w:rsidR="00C36780" w:rsidRPr="0010128E" w:rsidRDefault="00BD4068" w:rsidP="00C36780">
      <w:pPr>
        <w:spacing w:after="480"/>
        <w:rPr>
          <w:rFonts w:ascii="Times New Roman" w:hAnsi="Times New Roman"/>
          <w:sz w:val="20"/>
          <w:szCs w:val="20"/>
        </w:rPr>
      </w:pPr>
      <w:r w:rsidRPr="0010128E">
        <w:rPr>
          <w:rFonts w:ascii="Times New Roman" w:hAnsi="Times New Roman"/>
          <w:sz w:val="20"/>
          <w:szCs w:val="20"/>
        </w:rPr>
        <w:t>Source: Demographic and Health Surveys (DHS)</w:t>
      </w:r>
      <w:r w:rsidR="00366DBD" w:rsidRPr="0010128E">
        <w:rPr>
          <w:rFonts w:ascii="Times New Roman" w:hAnsi="Times New Roman"/>
          <w:sz w:val="20"/>
          <w:szCs w:val="20"/>
        </w:rPr>
        <w:t xml:space="preserve"> and W</w:t>
      </w:r>
      <w:r w:rsidR="0019567F" w:rsidRPr="0010128E">
        <w:rPr>
          <w:rFonts w:ascii="Times New Roman" w:hAnsi="Times New Roman"/>
          <w:sz w:val="20"/>
          <w:szCs w:val="20"/>
        </w:rPr>
        <w:t>orld Development Indicators</w:t>
      </w:r>
      <w:r w:rsidRPr="0010128E">
        <w:rPr>
          <w:rFonts w:ascii="Times New Roman" w:hAnsi="Times New Roman"/>
          <w:sz w:val="20"/>
          <w:szCs w:val="20"/>
        </w:rPr>
        <w:t xml:space="preserve"> (WDI)</w:t>
      </w:r>
      <w:r w:rsidR="0019567F" w:rsidRPr="0010128E">
        <w:rPr>
          <w:rFonts w:ascii="Times New Roman" w:hAnsi="Times New Roman"/>
          <w:sz w:val="20"/>
          <w:szCs w:val="20"/>
        </w:rPr>
        <w:t>,</w:t>
      </w:r>
      <w:r w:rsidR="00366DBD" w:rsidRPr="0010128E">
        <w:rPr>
          <w:rFonts w:ascii="Times New Roman" w:hAnsi="Times New Roman"/>
          <w:sz w:val="20"/>
          <w:szCs w:val="20"/>
        </w:rPr>
        <w:t xml:space="preserve"> Health Systems 20/20 Database (USAID)</w:t>
      </w:r>
    </w:p>
    <w:p w14:paraId="12CABD1D" w14:textId="6C56CD60" w:rsidR="00941F33" w:rsidRPr="0010128E" w:rsidRDefault="00941F33" w:rsidP="00C36780">
      <w:pPr>
        <w:pStyle w:val="Heading2"/>
        <w:spacing w:line="480" w:lineRule="auto"/>
      </w:pPr>
      <w:bookmarkStart w:id="20" w:name="_Toc206320787"/>
      <w:r w:rsidRPr="0010128E">
        <w:t xml:space="preserve">Findings: </w:t>
      </w:r>
      <w:r w:rsidR="00FF3B1B" w:rsidRPr="0010128E">
        <w:t>Comparison to Other Sub-Saharan African Countries</w:t>
      </w:r>
      <w:bookmarkEnd w:id="20"/>
    </w:p>
    <w:p w14:paraId="06C5C13B" w14:textId="4C3A2869" w:rsidR="00D07781" w:rsidRPr="0010128E" w:rsidRDefault="00D72B0D" w:rsidP="00C36780">
      <w:pPr>
        <w:pStyle w:val="Caption"/>
        <w:spacing w:after="0" w:line="480" w:lineRule="auto"/>
        <w:ind w:firstLine="720"/>
        <w:rPr>
          <w:rFonts w:ascii="Times New Roman" w:hAnsi="Times New Roman"/>
          <w:b w:val="0"/>
          <w:bCs w:val="0"/>
          <w:color w:val="auto"/>
          <w:sz w:val="24"/>
          <w:szCs w:val="24"/>
        </w:rPr>
      </w:pPr>
      <w:r w:rsidRPr="0010128E">
        <w:rPr>
          <w:rFonts w:ascii="Times New Roman" w:hAnsi="Times New Roman"/>
          <w:b w:val="0"/>
          <w:bCs w:val="0"/>
          <w:color w:val="auto"/>
          <w:sz w:val="24"/>
          <w:szCs w:val="24"/>
        </w:rPr>
        <w:t>Tanzania has certainly seen</w:t>
      </w:r>
      <w:r w:rsidR="00A179C6" w:rsidRPr="0010128E">
        <w:rPr>
          <w:rFonts w:ascii="Times New Roman" w:hAnsi="Times New Roman"/>
          <w:b w:val="0"/>
          <w:bCs w:val="0"/>
          <w:color w:val="auto"/>
          <w:sz w:val="24"/>
          <w:szCs w:val="24"/>
        </w:rPr>
        <w:t xml:space="preserve"> improvements in health indicators related to PHC, but how do they compare to other sub-Saharan African countries? </w:t>
      </w:r>
      <w:r w:rsidR="00B23589" w:rsidRPr="0010128E">
        <w:rPr>
          <w:rFonts w:ascii="Times New Roman" w:hAnsi="Times New Roman"/>
          <w:b w:val="0"/>
          <w:bCs w:val="0"/>
          <w:color w:val="auto"/>
          <w:sz w:val="24"/>
          <w:szCs w:val="24"/>
        </w:rPr>
        <w:t xml:space="preserve">To get a clearer picture of Tanzania’s success in improving health, data from 13 other sub-Saharan African countries was evaluated based on </w:t>
      </w:r>
      <w:r w:rsidR="004F71F1">
        <w:rPr>
          <w:rFonts w:ascii="Times New Roman" w:hAnsi="Times New Roman"/>
          <w:b w:val="0"/>
          <w:bCs w:val="0"/>
          <w:color w:val="auto"/>
          <w:sz w:val="24"/>
          <w:szCs w:val="24"/>
        </w:rPr>
        <w:t xml:space="preserve">percent </w:t>
      </w:r>
      <w:r w:rsidR="00B23589" w:rsidRPr="0010128E">
        <w:rPr>
          <w:rFonts w:ascii="Times New Roman" w:hAnsi="Times New Roman"/>
          <w:b w:val="0"/>
          <w:bCs w:val="0"/>
          <w:color w:val="auto"/>
          <w:sz w:val="24"/>
          <w:szCs w:val="24"/>
        </w:rPr>
        <w:t xml:space="preserve">change from 1990 to 2009. These </w:t>
      </w:r>
      <w:r w:rsidR="00D07781" w:rsidRPr="0010128E">
        <w:rPr>
          <w:rFonts w:ascii="Times New Roman" w:hAnsi="Times New Roman"/>
          <w:b w:val="0"/>
          <w:bCs w:val="0"/>
          <w:color w:val="auto"/>
          <w:sz w:val="24"/>
          <w:szCs w:val="24"/>
        </w:rPr>
        <w:t xml:space="preserve">sub-Saharan African </w:t>
      </w:r>
      <w:r w:rsidR="00B23589" w:rsidRPr="0010128E">
        <w:rPr>
          <w:rFonts w:ascii="Times New Roman" w:hAnsi="Times New Roman"/>
          <w:b w:val="0"/>
          <w:bCs w:val="0"/>
          <w:color w:val="auto"/>
          <w:sz w:val="24"/>
          <w:szCs w:val="24"/>
        </w:rPr>
        <w:t>countries were chosen because their GDP fell within $100</w:t>
      </w:r>
      <w:r w:rsidR="00D07781" w:rsidRPr="0010128E">
        <w:rPr>
          <w:rFonts w:ascii="Times New Roman" w:hAnsi="Times New Roman"/>
          <w:b w:val="0"/>
          <w:bCs w:val="0"/>
          <w:color w:val="auto"/>
          <w:sz w:val="24"/>
          <w:szCs w:val="24"/>
        </w:rPr>
        <w:t xml:space="preserve"> (plus and minus)</w:t>
      </w:r>
      <w:r w:rsidR="00B23589" w:rsidRPr="0010128E">
        <w:rPr>
          <w:rFonts w:ascii="Times New Roman" w:hAnsi="Times New Roman"/>
          <w:b w:val="0"/>
          <w:bCs w:val="0"/>
          <w:color w:val="auto"/>
          <w:sz w:val="24"/>
          <w:szCs w:val="24"/>
        </w:rPr>
        <w:t xml:space="preserve"> of Tanzania’s GDP in 2009. Due to data limitations, only life expectancy, infant mortali</w:t>
      </w:r>
      <w:r w:rsidRPr="0010128E">
        <w:rPr>
          <w:rFonts w:ascii="Times New Roman" w:hAnsi="Times New Roman"/>
          <w:b w:val="0"/>
          <w:bCs w:val="0"/>
          <w:color w:val="auto"/>
          <w:sz w:val="24"/>
          <w:szCs w:val="24"/>
        </w:rPr>
        <w:t>ty, under-five mortality</w:t>
      </w:r>
      <w:r w:rsidR="00FF3B1B" w:rsidRPr="0010128E">
        <w:rPr>
          <w:rFonts w:ascii="Times New Roman" w:hAnsi="Times New Roman"/>
          <w:b w:val="0"/>
          <w:bCs w:val="0"/>
          <w:color w:val="auto"/>
          <w:sz w:val="24"/>
          <w:szCs w:val="24"/>
        </w:rPr>
        <w:t xml:space="preserve">, </w:t>
      </w:r>
      <w:r w:rsidR="008E54EF" w:rsidRPr="0010128E">
        <w:rPr>
          <w:rFonts w:ascii="Times New Roman" w:hAnsi="Times New Roman"/>
          <w:b w:val="0"/>
          <w:bCs w:val="0"/>
          <w:color w:val="auto"/>
          <w:sz w:val="24"/>
          <w:szCs w:val="24"/>
        </w:rPr>
        <w:t xml:space="preserve">maternal mortality, </w:t>
      </w:r>
      <w:r w:rsidR="00FF3B1B" w:rsidRPr="0010128E">
        <w:rPr>
          <w:rFonts w:ascii="Times New Roman" w:hAnsi="Times New Roman"/>
          <w:b w:val="0"/>
          <w:bCs w:val="0"/>
          <w:color w:val="auto"/>
          <w:sz w:val="24"/>
          <w:szCs w:val="24"/>
        </w:rPr>
        <w:t>and HIV prevalence</w:t>
      </w:r>
      <w:r w:rsidRPr="0010128E">
        <w:rPr>
          <w:rFonts w:ascii="Times New Roman" w:hAnsi="Times New Roman"/>
          <w:b w:val="0"/>
          <w:bCs w:val="0"/>
          <w:color w:val="auto"/>
          <w:sz w:val="24"/>
          <w:szCs w:val="24"/>
        </w:rPr>
        <w:t xml:space="preserve"> were evaluated</w:t>
      </w:r>
      <w:r w:rsidR="00FF3B1B" w:rsidRPr="0010128E">
        <w:rPr>
          <w:rFonts w:ascii="Times New Roman" w:hAnsi="Times New Roman"/>
          <w:b w:val="0"/>
          <w:bCs w:val="0"/>
          <w:color w:val="auto"/>
          <w:sz w:val="24"/>
          <w:szCs w:val="24"/>
        </w:rPr>
        <w:t>.</w:t>
      </w:r>
      <w:r w:rsidR="00037DB3" w:rsidRPr="0010128E">
        <w:rPr>
          <w:rFonts w:ascii="Times New Roman" w:hAnsi="Times New Roman"/>
          <w:b w:val="0"/>
          <w:bCs w:val="0"/>
          <w:color w:val="auto"/>
          <w:sz w:val="24"/>
          <w:szCs w:val="24"/>
        </w:rPr>
        <w:t xml:space="preserve"> In all of the indicators but maternal mortality and HIV prevalence, the year 1990 was chosen as a baseline because the PHC strategies of decentralization, user fee abolition, and contracting out of services was not yet in full force. </w:t>
      </w:r>
    </w:p>
    <w:p w14:paraId="6B929C2E" w14:textId="2930F2EB" w:rsidR="00741602" w:rsidRPr="0010128E" w:rsidRDefault="00333678" w:rsidP="00D07781">
      <w:pPr>
        <w:pStyle w:val="Caption"/>
        <w:spacing w:after="0" w:line="480" w:lineRule="auto"/>
        <w:ind w:firstLine="720"/>
        <w:rPr>
          <w:rFonts w:ascii="Times New Roman" w:hAnsi="Times New Roman"/>
          <w:b w:val="0"/>
          <w:bCs w:val="0"/>
          <w:color w:val="auto"/>
          <w:sz w:val="24"/>
          <w:szCs w:val="24"/>
        </w:rPr>
      </w:pPr>
      <w:r w:rsidRPr="0010128E">
        <w:rPr>
          <w:rFonts w:ascii="Times New Roman" w:hAnsi="Times New Roman"/>
          <w:b w:val="0"/>
          <w:bCs w:val="0"/>
          <w:color w:val="auto"/>
          <w:sz w:val="24"/>
          <w:szCs w:val="24"/>
        </w:rPr>
        <w:t xml:space="preserve">Out of 14 countries, Tanzania’s life expectancy </w:t>
      </w:r>
      <w:r w:rsidR="004F71F1">
        <w:rPr>
          <w:rFonts w:ascii="Times New Roman" w:hAnsi="Times New Roman"/>
          <w:b w:val="0"/>
          <w:bCs w:val="0"/>
          <w:color w:val="auto"/>
          <w:sz w:val="24"/>
          <w:szCs w:val="24"/>
        </w:rPr>
        <w:t>change</w:t>
      </w:r>
      <w:r w:rsidRPr="0010128E">
        <w:rPr>
          <w:rFonts w:ascii="Times New Roman" w:hAnsi="Times New Roman"/>
          <w:b w:val="0"/>
          <w:bCs w:val="0"/>
          <w:color w:val="auto"/>
          <w:sz w:val="24"/>
          <w:szCs w:val="24"/>
        </w:rPr>
        <w:t xml:space="preserve"> was 6th highest between 1990 and 2009</w:t>
      </w:r>
      <w:r w:rsidR="004F71F1">
        <w:rPr>
          <w:rFonts w:ascii="Times New Roman" w:hAnsi="Times New Roman"/>
          <w:b w:val="0"/>
          <w:bCs w:val="0"/>
          <w:color w:val="auto"/>
          <w:sz w:val="24"/>
          <w:szCs w:val="24"/>
        </w:rPr>
        <w:t xml:space="preserve"> reaching 56.59 years</w:t>
      </w:r>
      <w:r w:rsidRPr="0010128E">
        <w:rPr>
          <w:rFonts w:ascii="Times New Roman" w:hAnsi="Times New Roman"/>
          <w:b w:val="0"/>
          <w:bCs w:val="0"/>
          <w:color w:val="auto"/>
          <w:sz w:val="24"/>
          <w:szCs w:val="24"/>
        </w:rPr>
        <w:t xml:space="preserve">. Their under-five mortality rate </w:t>
      </w:r>
      <w:r w:rsidR="004F71F1">
        <w:rPr>
          <w:rFonts w:ascii="Times New Roman" w:hAnsi="Times New Roman"/>
          <w:b w:val="0"/>
          <w:bCs w:val="0"/>
          <w:color w:val="auto"/>
          <w:sz w:val="24"/>
          <w:szCs w:val="24"/>
        </w:rPr>
        <w:t>change</w:t>
      </w:r>
      <w:r w:rsidRPr="0010128E">
        <w:rPr>
          <w:rFonts w:ascii="Times New Roman" w:hAnsi="Times New Roman"/>
          <w:b w:val="0"/>
          <w:bCs w:val="0"/>
          <w:color w:val="auto"/>
          <w:sz w:val="24"/>
          <w:szCs w:val="24"/>
        </w:rPr>
        <w:t xml:space="preserve"> was </w:t>
      </w:r>
      <w:r w:rsidR="004F71F1">
        <w:rPr>
          <w:rFonts w:ascii="Times New Roman" w:hAnsi="Times New Roman"/>
          <w:b w:val="0"/>
          <w:bCs w:val="0"/>
          <w:color w:val="auto"/>
          <w:sz w:val="24"/>
          <w:szCs w:val="24"/>
        </w:rPr>
        <w:t>the</w:t>
      </w:r>
      <w:r w:rsidR="00FF3B1B" w:rsidRPr="0010128E">
        <w:rPr>
          <w:rFonts w:ascii="Times New Roman" w:hAnsi="Times New Roman"/>
          <w:b w:val="0"/>
          <w:bCs w:val="0"/>
          <w:color w:val="auto"/>
          <w:sz w:val="24"/>
          <w:szCs w:val="24"/>
        </w:rPr>
        <w:t xml:space="preserve"> highest, dropping to 80.4 per 1,000 births in 2009. Tanzania’s infant mortality rate also showed great improvements in comparison to the other 13 countries, </w:t>
      </w:r>
      <w:r w:rsidR="004F71F1">
        <w:rPr>
          <w:rFonts w:ascii="Times New Roman" w:hAnsi="Times New Roman"/>
          <w:b w:val="0"/>
          <w:bCs w:val="0"/>
          <w:color w:val="auto"/>
          <w:sz w:val="24"/>
          <w:szCs w:val="24"/>
        </w:rPr>
        <w:t xml:space="preserve">again </w:t>
      </w:r>
      <w:r w:rsidR="00FF3B1B" w:rsidRPr="0010128E">
        <w:rPr>
          <w:rFonts w:ascii="Times New Roman" w:hAnsi="Times New Roman"/>
          <w:b w:val="0"/>
          <w:bCs w:val="0"/>
          <w:color w:val="auto"/>
          <w:sz w:val="24"/>
          <w:szCs w:val="24"/>
        </w:rPr>
        <w:t xml:space="preserve">ranking highest in their </w:t>
      </w:r>
      <w:r w:rsidR="004F71F1">
        <w:rPr>
          <w:rFonts w:ascii="Times New Roman" w:hAnsi="Times New Roman"/>
          <w:b w:val="0"/>
          <w:bCs w:val="0"/>
          <w:color w:val="auto"/>
          <w:sz w:val="24"/>
          <w:szCs w:val="24"/>
        </w:rPr>
        <w:t>change</w:t>
      </w:r>
      <w:r w:rsidR="00FF3B1B" w:rsidRPr="0010128E">
        <w:rPr>
          <w:rFonts w:ascii="Times New Roman" w:hAnsi="Times New Roman"/>
          <w:b w:val="0"/>
          <w:bCs w:val="0"/>
          <w:color w:val="auto"/>
          <w:sz w:val="24"/>
          <w:szCs w:val="24"/>
        </w:rPr>
        <w:t xml:space="preserve"> between 1990 and 2009 (52.5 infant deaths per 1,000 live births in 2009). </w:t>
      </w:r>
    </w:p>
    <w:p w14:paraId="727E8B8E" w14:textId="77777777" w:rsidR="00741602" w:rsidRPr="0010128E" w:rsidRDefault="008E54EF" w:rsidP="00D07781">
      <w:pPr>
        <w:pStyle w:val="Caption"/>
        <w:spacing w:after="0" w:line="480" w:lineRule="auto"/>
        <w:ind w:firstLine="720"/>
        <w:rPr>
          <w:rFonts w:ascii="Times New Roman" w:hAnsi="Times New Roman"/>
          <w:b w:val="0"/>
          <w:bCs w:val="0"/>
          <w:color w:val="auto"/>
          <w:sz w:val="24"/>
          <w:szCs w:val="24"/>
        </w:rPr>
      </w:pPr>
      <w:r w:rsidRPr="0010128E">
        <w:rPr>
          <w:rFonts w:ascii="Times New Roman" w:hAnsi="Times New Roman"/>
          <w:b w:val="0"/>
          <w:bCs w:val="0"/>
          <w:color w:val="auto"/>
          <w:sz w:val="24"/>
          <w:szCs w:val="24"/>
        </w:rPr>
        <w:t xml:space="preserve">The change in maternal mortality ratio per 100,000 live births was fairly dismal in comparison to the other countries, with just a small decrease </w:t>
      </w:r>
      <w:r w:rsidR="00CC22AF" w:rsidRPr="0010128E">
        <w:rPr>
          <w:rFonts w:ascii="Times New Roman" w:hAnsi="Times New Roman"/>
          <w:b w:val="0"/>
          <w:bCs w:val="0"/>
          <w:color w:val="auto"/>
          <w:sz w:val="24"/>
          <w:szCs w:val="24"/>
        </w:rPr>
        <w:t xml:space="preserve">since 2000 </w:t>
      </w:r>
      <w:r w:rsidRPr="0010128E">
        <w:rPr>
          <w:rFonts w:ascii="Times New Roman" w:hAnsi="Times New Roman"/>
          <w:b w:val="0"/>
          <w:bCs w:val="0"/>
          <w:color w:val="auto"/>
          <w:sz w:val="24"/>
          <w:szCs w:val="24"/>
        </w:rPr>
        <w:t>and still an overall high ratio.</w:t>
      </w:r>
      <w:r w:rsidR="00CC22AF" w:rsidRPr="0010128E">
        <w:rPr>
          <w:rFonts w:ascii="Times New Roman" w:hAnsi="Times New Roman"/>
          <w:b w:val="0"/>
          <w:bCs w:val="0"/>
          <w:color w:val="auto"/>
          <w:sz w:val="24"/>
          <w:szCs w:val="24"/>
        </w:rPr>
        <w:t xml:space="preserve"> The year 2000 was used as a baseline to due lack of data for 1990.</w:t>
      </w:r>
      <w:r w:rsidRPr="0010128E">
        <w:rPr>
          <w:rFonts w:ascii="Times New Roman" w:hAnsi="Times New Roman"/>
          <w:b w:val="0"/>
          <w:bCs w:val="0"/>
          <w:color w:val="auto"/>
          <w:sz w:val="24"/>
          <w:szCs w:val="24"/>
        </w:rPr>
        <w:t xml:space="preserve"> </w:t>
      </w:r>
      <w:r w:rsidR="00741602" w:rsidRPr="0010128E">
        <w:rPr>
          <w:rFonts w:ascii="Times New Roman" w:hAnsi="Times New Roman"/>
          <w:b w:val="0"/>
          <w:bCs w:val="0"/>
          <w:color w:val="auto"/>
          <w:sz w:val="24"/>
          <w:szCs w:val="24"/>
        </w:rPr>
        <w:t xml:space="preserve">Kruk et al. (2009) looked at the extent in which women in rural western Tanzania bypass their nearest primary care facilities to deliver at more distant health facilities; typically preferring NGO-run or faith-based health clinics over government-run facilities. The researchers found that 44% of women who delivered in a health facility bypassed their nearest facility (Kruk et al., 2009). Bypassing is costly and inefficient for the individuals and the health system. This creates more inequity as NGO and faith-based facilities are typically more expensive, which results in more money spent on user fees for rural individuals. In addition to obstetric risk factors, a major reason for this appears to be a concern about the quality of care at government dispensaries and health centers. </w:t>
      </w:r>
    </w:p>
    <w:p w14:paraId="7BBCABF6" w14:textId="1195A847" w:rsidR="00D07781" w:rsidRPr="0010128E" w:rsidRDefault="00CC22AF" w:rsidP="00D07781">
      <w:pPr>
        <w:pStyle w:val="Caption"/>
        <w:spacing w:after="0" w:line="480" w:lineRule="auto"/>
        <w:ind w:firstLine="720"/>
        <w:rPr>
          <w:rFonts w:ascii="Times New Roman" w:hAnsi="Times New Roman"/>
          <w:b w:val="0"/>
          <w:bCs w:val="0"/>
          <w:color w:val="auto"/>
          <w:sz w:val="24"/>
          <w:szCs w:val="24"/>
        </w:rPr>
      </w:pPr>
      <w:r w:rsidRPr="0010128E">
        <w:rPr>
          <w:rFonts w:ascii="Times New Roman" w:hAnsi="Times New Roman"/>
          <w:b w:val="0"/>
          <w:bCs w:val="0"/>
          <w:color w:val="auto"/>
          <w:sz w:val="24"/>
          <w:szCs w:val="24"/>
        </w:rPr>
        <w:t>For comparison of HIV prevalence, the year 2000 was used as a baseline since HIV was just barely emerging in many sub-Saharan African countries in 1990. Consequently, a comparison</w:t>
      </w:r>
      <w:r w:rsidR="00A21985">
        <w:rPr>
          <w:rFonts w:ascii="Times New Roman" w:hAnsi="Times New Roman"/>
          <w:b w:val="0"/>
          <w:bCs w:val="0"/>
          <w:color w:val="auto"/>
          <w:sz w:val="24"/>
          <w:szCs w:val="24"/>
        </w:rPr>
        <w:t xml:space="preserve"> of 1990</w:t>
      </w:r>
      <w:r w:rsidRPr="0010128E">
        <w:rPr>
          <w:rFonts w:ascii="Times New Roman" w:hAnsi="Times New Roman"/>
          <w:b w:val="0"/>
          <w:bCs w:val="0"/>
          <w:color w:val="auto"/>
          <w:sz w:val="24"/>
          <w:szCs w:val="24"/>
        </w:rPr>
        <w:t xml:space="preserve"> to 2009 would show an increase across the board in all countries. Looking at the HIV prevalence among individuals ages 15-49, Tanzania had the </w:t>
      </w:r>
      <w:r w:rsidR="004F71F1">
        <w:rPr>
          <w:rFonts w:ascii="Times New Roman" w:hAnsi="Times New Roman"/>
          <w:b w:val="0"/>
          <w:bCs w:val="0"/>
          <w:color w:val="auto"/>
          <w:sz w:val="24"/>
          <w:szCs w:val="24"/>
        </w:rPr>
        <w:t>third</w:t>
      </w:r>
      <w:r w:rsidRPr="0010128E">
        <w:rPr>
          <w:rFonts w:ascii="Times New Roman" w:hAnsi="Times New Roman"/>
          <w:b w:val="0"/>
          <w:bCs w:val="0"/>
          <w:color w:val="auto"/>
          <w:sz w:val="24"/>
          <w:szCs w:val="24"/>
        </w:rPr>
        <w:t xml:space="preserve"> largest</w:t>
      </w:r>
      <w:r w:rsidR="004F71F1">
        <w:rPr>
          <w:rFonts w:ascii="Times New Roman" w:hAnsi="Times New Roman"/>
          <w:b w:val="0"/>
          <w:bCs w:val="0"/>
          <w:color w:val="auto"/>
          <w:sz w:val="24"/>
          <w:szCs w:val="24"/>
        </w:rPr>
        <w:t xml:space="preserve"> </w:t>
      </w:r>
      <w:r w:rsidR="00A21985">
        <w:rPr>
          <w:rFonts w:ascii="Times New Roman" w:hAnsi="Times New Roman"/>
          <w:b w:val="0"/>
          <w:bCs w:val="0"/>
          <w:color w:val="auto"/>
          <w:sz w:val="24"/>
          <w:szCs w:val="24"/>
        </w:rPr>
        <w:t>change</w:t>
      </w:r>
      <w:r w:rsidRPr="0010128E">
        <w:rPr>
          <w:rFonts w:ascii="Times New Roman" w:hAnsi="Times New Roman"/>
          <w:b w:val="0"/>
          <w:bCs w:val="0"/>
          <w:color w:val="auto"/>
          <w:sz w:val="24"/>
          <w:szCs w:val="24"/>
        </w:rPr>
        <w:t xml:space="preserve"> in the country comparison. Additionally, at 5.6% (UNAIDS, 2011), Tanzania’s HIV prevalence among this age group is on the lower end of the spectrum (</w:t>
      </w:r>
      <w:r w:rsidR="009A073C" w:rsidRPr="0010128E">
        <w:rPr>
          <w:rFonts w:ascii="Times New Roman" w:hAnsi="Times New Roman"/>
          <w:b w:val="0"/>
          <w:bCs w:val="0"/>
          <w:color w:val="auto"/>
          <w:sz w:val="24"/>
          <w:szCs w:val="24"/>
        </w:rPr>
        <w:t>Lesotho, in comparison</w:t>
      </w:r>
      <w:r w:rsidR="00074353" w:rsidRPr="0010128E">
        <w:rPr>
          <w:rFonts w:ascii="Times New Roman" w:hAnsi="Times New Roman"/>
          <w:b w:val="0"/>
          <w:bCs w:val="0"/>
          <w:color w:val="auto"/>
          <w:sz w:val="24"/>
          <w:szCs w:val="24"/>
        </w:rPr>
        <w:t>,</w:t>
      </w:r>
      <w:r w:rsidR="009A073C" w:rsidRPr="0010128E">
        <w:rPr>
          <w:rFonts w:ascii="Times New Roman" w:hAnsi="Times New Roman"/>
          <w:b w:val="0"/>
          <w:bCs w:val="0"/>
          <w:color w:val="auto"/>
          <w:sz w:val="24"/>
          <w:szCs w:val="24"/>
        </w:rPr>
        <w:t xml:space="preserve"> has a prevalence of 23%). </w:t>
      </w:r>
    </w:p>
    <w:p w14:paraId="101DF36E" w14:textId="77777777" w:rsidR="00CB01DB" w:rsidRPr="0010128E" w:rsidRDefault="009A073C" w:rsidP="00D07781">
      <w:pPr>
        <w:pStyle w:val="Caption"/>
        <w:spacing w:after="0" w:line="480" w:lineRule="auto"/>
        <w:ind w:firstLine="720"/>
        <w:rPr>
          <w:rFonts w:ascii="Times New Roman" w:hAnsi="Times New Roman"/>
          <w:b w:val="0"/>
          <w:bCs w:val="0"/>
          <w:color w:val="auto"/>
          <w:sz w:val="24"/>
          <w:szCs w:val="24"/>
        </w:rPr>
      </w:pPr>
      <w:r w:rsidRPr="0010128E">
        <w:rPr>
          <w:rFonts w:ascii="Times New Roman" w:hAnsi="Times New Roman"/>
          <w:b w:val="0"/>
          <w:bCs w:val="0"/>
          <w:color w:val="auto"/>
          <w:sz w:val="24"/>
          <w:szCs w:val="24"/>
        </w:rPr>
        <w:t xml:space="preserve">The last country </w:t>
      </w:r>
      <w:r w:rsidR="00D675E4" w:rsidRPr="0010128E">
        <w:rPr>
          <w:rFonts w:ascii="Times New Roman" w:hAnsi="Times New Roman"/>
          <w:b w:val="0"/>
          <w:bCs w:val="0"/>
          <w:color w:val="auto"/>
          <w:sz w:val="24"/>
          <w:szCs w:val="24"/>
        </w:rPr>
        <w:t>comparison</w:t>
      </w:r>
      <w:r w:rsidRPr="0010128E">
        <w:rPr>
          <w:rFonts w:ascii="Times New Roman" w:hAnsi="Times New Roman"/>
          <w:b w:val="0"/>
          <w:bCs w:val="0"/>
          <w:color w:val="auto"/>
          <w:sz w:val="24"/>
          <w:szCs w:val="24"/>
        </w:rPr>
        <w:t xml:space="preserve"> was not a health indicator, but rather an equity indicator. For </w:t>
      </w:r>
      <w:r w:rsidR="00D675E4" w:rsidRPr="0010128E">
        <w:rPr>
          <w:rFonts w:ascii="Times New Roman" w:hAnsi="Times New Roman"/>
          <w:b w:val="0"/>
          <w:bCs w:val="0"/>
          <w:color w:val="auto"/>
          <w:sz w:val="24"/>
          <w:szCs w:val="24"/>
        </w:rPr>
        <w:t xml:space="preserve">OOP expenditure as a percentage of </w:t>
      </w:r>
      <w:r w:rsidR="008E54EF" w:rsidRPr="0010128E">
        <w:rPr>
          <w:rFonts w:ascii="Times New Roman" w:hAnsi="Times New Roman"/>
          <w:b w:val="0"/>
          <w:bCs w:val="0"/>
          <w:color w:val="auto"/>
          <w:sz w:val="24"/>
          <w:szCs w:val="24"/>
        </w:rPr>
        <w:t>total health</w:t>
      </w:r>
      <w:r w:rsidR="00D675E4" w:rsidRPr="0010128E">
        <w:rPr>
          <w:rFonts w:ascii="Times New Roman" w:hAnsi="Times New Roman"/>
          <w:b w:val="0"/>
          <w:bCs w:val="0"/>
          <w:color w:val="auto"/>
          <w:sz w:val="24"/>
          <w:szCs w:val="24"/>
        </w:rPr>
        <w:t xml:space="preserve"> expenditure</w:t>
      </w:r>
      <w:r w:rsidR="008E54EF" w:rsidRPr="0010128E">
        <w:rPr>
          <w:rFonts w:ascii="Times New Roman" w:hAnsi="Times New Roman"/>
          <w:b w:val="0"/>
          <w:bCs w:val="0"/>
          <w:color w:val="auto"/>
          <w:sz w:val="24"/>
          <w:szCs w:val="24"/>
        </w:rPr>
        <w:t xml:space="preserve"> (THE)</w:t>
      </w:r>
      <w:r w:rsidR="00D675E4" w:rsidRPr="0010128E">
        <w:rPr>
          <w:rFonts w:ascii="Times New Roman" w:hAnsi="Times New Roman"/>
          <w:b w:val="0"/>
          <w:bCs w:val="0"/>
          <w:color w:val="auto"/>
          <w:sz w:val="24"/>
          <w:szCs w:val="24"/>
        </w:rPr>
        <w:t xml:space="preserve">, Tanzania has </w:t>
      </w:r>
      <w:r w:rsidR="008E54EF" w:rsidRPr="0010128E">
        <w:rPr>
          <w:rFonts w:ascii="Times New Roman" w:hAnsi="Times New Roman"/>
          <w:b w:val="0"/>
          <w:bCs w:val="0"/>
          <w:color w:val="auto"/>
          <w:sz w:val="24"/>
          <w:szCs w:val="24"/>
        </w:rPr>
        <w:t xml:space="preserve">not only </w:t>
      </w:r>
      <w:r w:rsidR="00D675E4" w:rsidRPr="0010128E">
        <w:rPr>
          <w:rFonts w:ascii="Times New Roman" w:hAnsi="Times New Roman"/>
          <w:b w:val="0"/>
          <w:bCs w:val="0"/>
          <w:color w:val="auto"/>
          <w:sz w:val="24"/>
          <w:szCs w:val="24"/>
        </w:rPr>
        <w:t>shown the greatest improvement</w:t>
      </w:r>
      <w:r w:rsidR="008E54EF" w:rsidRPr="0010128E">
        <w:rPr>
          <w:rFonts w:ascii="Times New Roman" w:hAnsi="Times New Roman"/>
          <w:b w:val="0"/>
          <w:bCs w:val="0"/>
          <w:color w:val="auto"/>
          <w:sz w:val="24"/>
          <w:szCs w:val="24"/>
        </w:rPr>
        <w:t>, but also has the smallest OOP expenditure as a percentage of THE compared to the other 13 countries at 17.19% (</w:t>
      </w:r>
      <w:r w:rsidRPr="0010128E">
        <w:rPr>
          <w:rFonts w:ascii="Times New Roman" w:hAnsi="Times New Roman"/>
          <w:b w:val="0"/>
          <w:bCs w:val="0"/>
          <w:color w:val="auto"/>
          <w:sz w:val="24"/>
          <w:szCs w:val="24"/>
        </w:rPr>
        <w:t>WHO</w:t>
      </w:r>
      <w:r w:rsidR="008E54EF" w:rsidRPr="0010128E">
        <w:rPr>
          <w:rFonts w:ascii="Times New Roman" w:hAnsi="Times New Roman"/>
          <w:b w:val="0"/>
          <w:bCs w:val="0"/>
          <w:color w:val="auto"/>
          <w:sz w:val="24"/>
          <w:szCs w:val="24"/>
        </w:rPr>
        <w:t>, 2011)</w:t>
      </w:r>
      <w:r w:rsidR="00D675E4" w:rsidRPr="0010128E">
        <w:rPr>
          <w:rFonts w:ascii="Times New Roman" w:hAnsi="Times New Roman"/>
          <w:b w:val="0"/>
          <w:bCs w:val="0"/>
          <w:color w:val="auto"/>
          <w:sz w:val="24"/>
          <w:szCs w:val="24"/>
        </w:rPr>
        <w:t xml:space="preserve">. By decreasing this percentage, the financial burden on individuals and families is reduced. </w:t>
      </w:r>
      <w:r w:rsidR="00FF3B1B" w:rsidRPr="0010128E">
        <w:rPr>
          <w:rFonts w:ascii="Times New Roman" w:hAnsi="Times New Roman"/>
          <w:b w:val="0"/>
          <w:bCs w:val="0"/>
          <w:color w:val="auto"/>
          <w:sz w:val="24"/>
          <w:szCs w:val="24"/>
        </w:rPr>
        <w:t>See Appendix 3 for the complete data tables.</w:t>
      </w:r>
      <w:r w:rsidR="00CB01DB" w:rsidRPr="0010128E">
        <w:rPr>
          <w:rFonts w:ascii="Times New Roman" w:hAnsi="Times New Roman"/>
          <w:b w:val="0"/>
          <w:bCs w:val="0"/>
          <w:color w:val="auto"/>
          <w:sz w:val="24"/>
          <w:szCs w:val="24"/>
        </w:rPr>
        <w:t xml:space="preserve"> </w:t>
      </w:r>
    </w:p>
    <w:p w14:paraId="5E403365" w14:textId="74674301" w:rsidR="00330E45" w:rsidRPr="0010128E" w:rsidRDefault="00330E45" w:rsidP="00330E45">
      <w:pPr>
        <w:pStyle w:val="Heading2"/>
        <w:spacing w:line="480" w:lineRule="auto"/>
        <w:rPr>
          <w:b w:val="0"/>
          <w:bCs w:val="0"/>
        </w:rPr>
      </w:pPr>
      <w:bookmarkStart w:id="21" w:name="_Toc206320788"/>
      <w:r w:rsidRPr="0010128E">
        <w:t xml:space="preserve">Findings: </w:t>
      </w:r>
      <w:r w:rsidR="00941F33" w:rsidRPr="0010128E">
        <w:t>Limitations</w:t>
      </w:r>
      <w:bookmarkEnd w:id="21"/>
    </w:p>
    <w:p w14:paraId="5E3A0EB7" w14:textId="51318925" w:rsidR="00CB01DB" w:rsidRPr="0010128E" w:rsidRDefault="00941F33" w:rsidP="00330E45">
      <w:pPr>
        <w:pStyle w:val="Caption"/>
        <w:spacing w:after="0" w:line="480" w:lineRule="auto"/>
        <w:ind w:firstLine="720"/>
        <w:rPr>
          <w:rFonts w:ascii="Times New Roman" w:hAnsi="Times New Roman"/>
        </w:rPr>
      </w:pPr>
      <w:r w:rsidRPr="0010128E">
        <w:rPr>
          <w:rFonts w:ascii="Times New Roman" w:hAnsi="Times New Roman"/>
          <w:b w:val="0"/>
          <w:bCs w:val="0"/>
          <w:color w:val="auto"/>
          <w:sz w:val="24"/>
          <w:szCs w:val="24"/>
        </w:rPr>
        <w:t xml:space="preserve">The cross country comparison is by no </w:t>
      </w:r>
      <w:r w:rsidR="00CB01DB" w:rsidRPr="0010128E">
        <w:rPr>
          <w:rFonts w:ascii="Times New Roman" w:hAnsi="Times New Roman"/>
          <w:b w:val="0"/>
          <w:bCs w:val="0"/>
          <w:color w:val="auto"/>
          <w:sz w:val="24"/>
          <w:szCs w:val="24"/>
        </w:rPr>
        <w:t xml:space="preserve">means an exhaustive </w:t>
      </w:r>
      <w:r w:rsidR="00D675E4" w:rsidRPr="0010128E">
        <w:rPr>
          <w:rFonts w:ascii="Times New Roman" w:hAnsi="Times New Roman"/>
          <w:b w:val="0"/>
          <w:bCs w:val="0"/>
          <w:color w:val="auto"/>
          <w:sz w:val="24"/>
          <w:szCs w:val="24"/>
        </w:rPr>
        <w:t xml:space="preserve">country </w:t>
      </w:r>
      <w:r w:rsidR="00CB01DB" w:rsidRPr="0010128E">
        <w:rPr>
          <w:rFonts w:ascii="Times New Roman" w:hAnsi="Times New Roman"/>
          <w:b w:val="0"/>
          <w:bCs w:val="0"/>
          <w:color w:val="auto"/>
          <w:sz w:val="24"/>
          <w:szCs w:val="24"/>
        </w:rPr>
        <w:t>comparison</w:t>
      </w:r>
      <w:r w:rsidR="00D675E4" w:rsidRPr="0010128E">
        <w:rPr>
          <w:rFonts w:ascii="Times New Roman" w:hAnsi="Times New Roman"/>
          <w:b w:val="0"/>
          <w:bCs w:val="0"/>
          <w:color w:val="auto"/>
          <w:sz w:val="24"/>
          <w:szCs w:val="24"/>
        </w:rPr>
        <w:t>,</w:t>
      </w:r>
      <w:r w:rsidR="00CB01DB" w:rsidRPr="0010128E">
        <w:rPr>
          <w:rFonts w:ascii="Times New Roman" w:hAnsi="Times New Roman"/>
          <w:b w:val="0"/>
          <w:bCs w:val="0"/>
          <w:color w:val="auto"/>
          <w:sz w:val="24"/>
          <w:szCs w:val="24"/>
        </w:rPr>
        <w:t xml:space="preserve"> as external factors such as </w:t>
      </w:r>
      <w:r w:rsidR="00D675E4" w:rsidRPr="0010128E">
        <w:rPr>
          <w:rFonts w:ascii="Times New Roman" w:hAnsi="Times New Roman"/>
          <w:b w:val="0"/>
          <w:bCs w:val="0"/>
          <w:color w:val="auto"/>
          <w:sz w:val="24"/>
          <w:szCs w:val="24"/>
        </w:rPr>
        <w:t xml:space="preserve">population size, </w:t>
      </w:r>
      <w:r w:rsidR="00CB01DB" w:rsidRPr="0010128E">
        <w:rPr>
          <w:rFonts w:ascii="Times New Roman" w:hAnsi="Times New Roman"/>
          <w:b w:val="0"/>
          <w:bCs w:val="0"/>
          <w:color w:val="auto"/>
          <w:sz w:val="24"/>
          <w:szCs w:val="24"/>
        </w:rPr>
        <w:t xml:space="preserve">political climate, </w:t>
      </w:r>
      <w:r w:rsidR="00D675E4" w:rsidRPr="0010128E">
        <w:rPr>
          <w:rFonts w:ascii="Times New Roman" w:hAnsi="Times New Roman"/>
          <w:b w:val="0"/>
          <w:bCs w:val="0"/>
          <w:color w:val="auto"/>
          <w:sz w:val="24"/>
          <w:szCs w:val="24"/>
        </w:rPr>
        <w:t xml:space="preserve">donor funding levels, and health financing were not controlled for. However, </w:t>
      </w:r>
      <w:r w:rsidR="000E381F" w:rsidRPr="0010128E">
        <w:rPr>
          <w:rFonts w:ascii="Times New Roman" w:hAnsi="Times New Roman"/>
          <w:b w:val="0"/>
          <w:bCs w:val="0"/>
          <w:color w:val="auto"/>
          <w:sz w:val="24"/>
          <w:szCs w:val="24"/>
        </w:rPr>
        <w:t>these improvements in health indicators demonstrate</w:t>
      </w:r>
      <w:r w:rsidR="00D07781" w:rsidRPr="0010128E">
        <w:rPr>
          <w:rFonts w:ascii="Times New Roman" w:hAnsi="Times New Roman"/>
          <w:b w:val="0"/>
          <w:bCs w:val="0"/>
          <w:color w:val="auto"/>
          <w:sz w:val="24"/>
          <w:szCs w:val="24"/>
        </w:rPr>
        <w:t xml:space="preserve"> the</w:t>
      </w:r>
      <w:r w:rsidR="00D675E4" w:rsidRPr="0010128E">
        <w:rPr>
          <w:rFonts w:ascii="Times New Roman" w:hAnsi="Times New Roman"/>
          <w:b w:val="0"/>
          <w:bCs w:val="0"/>
          <w:color w:val="auto"/>
          <w:sz w:val="24"/>
          <w:szCs w:val="24"/>
        </w:rPr>
        <w:t xml:space="preserve"> success of the Tanzanian government in implementing PHC strategies.  </w:t>
      </w:r>
      <w:r w:rsidR="00D07781" w:rsidRPr="0010128E">
        <w:rPr>
          <w:rFonts w:ascii="Times New Roman" w:hAnsi="Times New Roman"/>
          <w:b w:val="0"/>
          <w:bCs w:val="0"/>
          <w:color w:val="auto"/>
          <w:sz w:val="24"/>
          <w:szCs w:val="24"/>
        </w:rPr>
        <w:t>Additionally, the large decrease (</w:t>
      </w:r>
      <w:r w:rsidR="009A073C" w:rsidRPr="0010128E">
        <w:rPr>
          <w:rFonts w:ascii="Times New Roman" w:hAnsi="Times New Roman"/>
          <w:b w:val="0"/>
          <w:bCs w:val="0"/>
          <w:color w:val="auto"/>
          <w:sz w:val="24"/>
          <w:szCs w:val="24"/>
        </w:rPr>
        <w:t>47.26</w:t>
      </w:r>
      <w:r w:rsidR="00D07781" w:rsidRPr="0010128E">
        <w:rPr>
          <w:rFonts w:ascii="Times New Roman" w:hAnsi="Times New Roman"/>
          <w:b w:val="0"/>
          <w:bCs w:val="0"/>
          <w:color w:val="auto"/>
          <w:sz w:val="24"/>
          <w:szCs w:val="24"/>
        </w:rPr>
        <w:t>%</w:t>
      </w:r>
      <w:r w:rsidR="009A073C" w:rsidRPr="0010128E">
        <w:rPr>
          <w:rFonts w:ascii="Times New Roman" w:hAnsi="Times New Roman"/>
          <w:b w:val="0"/>
          <w:bCs w:val="0"/>
          <w:color w:val="auto"/>
          <w:sz w:val="24"/>
          <w:szCs w:val="24"/>
        </w:rPr>
        <w:t xml:space="preserve"> to 17.19%</w:t>
      </w:r>
      <w:r w:rsidR="00D07781" w:rsidRPr="0010128E">
        <w:rPr>
          <w:rFonts w:ascii="Times New Roman" w:hAnsi="Times New Roman"/>
          <w:b w:val="0"/>
          <w:bCs w:val="0"/>
          <w:color w:val="auto"/>
          <w:sz w:val="24"/>
          <w:szCs w:val="24"/>
        </w:rPr>
        <w:t xml:space="preserve">) in OOP expenditure as a percentage of private expenditure suggests improvements in </w:t>
      </w:r>
      <w:r w:rsidR="009A073C" w:rsidRPr="0010128E">
        <w:rPr>
          <w:rFonts w:ascii="Times New Roman" w:hAnsi="Times New Roman"/>
          <w:b w:val="0"/>
          <w:bCs w:val="0"/>
          <w:color w:val="auto"/>
          <w:sz w:val="24"/>
          <w:szCs w:val="24"/>
        </w:rPr>
        <w:t>cost as an equity goal</w:t>
      </w:r>
      <w:r w:rsidR="00D07781" w:rsidRPr="0010128E">
        <w:rPr>
          <w:rFonts w:ascii="Times New Roman" w:hAnsi="Times New Roman"/>
          <w:b w:val="0"/>
          <w:bCs w:val="0"/>
          <w:color w:val="auto"/>
          <w:sz w:val="24"/>
          <w:szCs w:val="24"/>
        </w:rPr>
        <w:t>. The equity goals of access and service provision were not factored into the country comparison due to data limitations.</w:t>
      </w:r>
    </w:p>
    <w:p w14:paraId="4C59C24F" w14:textId="30D5404E" w:rsidR="00474638" w:rsidRPr="00B6243B" w:rsidRDefault="0015706A" w:rsidP="00B6243B">
      <w:pPr>
        <w:spacing w:line="480" w:lineRule="auto"/>
        <w:rPr>
          <w:rFonts w:ascii="Times New Roman" w:hAnsi="Times New Roman"/>
          <w:sz w:val="24"/>
        </w:rPr>
      </w:pPr>
      <w:r w:rsidRPr="0010128E">
        <w:rPr>
          <w:rFonts w:ascii="Times New Roman" w:hAnsi="Times New Roman"/>
          <w:sz w:val="24"/>
        </w:rPr>
        <w:tab/>
        <w:t>This theoretical examination of the Tanzanian health care system is reliant on the use of secondary data collection. Due to cost and travel limitations it was not feasible for the researcher to collect primary data through surveys or interviews. A</w:t>
      </w:r>
      <w:r w:rsidR="004D192B" w:rsidRPr="0010128E">
        <w:rPr>
          <w:rFonts w:ascii="Times New Roman" w:hAnsi="Times New Roman"/>
          <w:sz w:val="24"/>
        </w:rPr>
        <w:t>s a result, certain confounding elements may not be controlled for</w:t>
      </w:r>
      <w:r w:rsidR="00B23589" w:rsidRPr="0010128E">
        <w:rPr>
          <w:rFonts w:ascii="Times New Roman" w:hAnsi="Times New Roman"/>
          <w:sz w:val="24"/>
        </w:rPr>
        <w:t xml:space="preserve"> and certain gaps remain in the data</w:t>
      </w:r>
      <w:r w:rsidR="004D192B" w:rsidRPr="0010128E">
        <w:rPr>
          <w:rFonts w:ascii="Times New Roman" w:hAnsi="Times New Roman"/>
          <w:sz w:val="24"/>
        </w:rPr>
        <w:t xml:space="preserve">. In addition, this examination does not fully capture the health status of Tanzania. Health care access and utilization are simply a piece of the health status puzzle when studying the social determinants of health. </w:t>
      </w:r>
    </w:p>
    <w:p w14:paraId="1026963E" w14:textId="2C40999B" w:rsidR="00D07781" w:rsidRPr="0010128E" w:rsidRDefault="00A52BF4" w:rsidP="00C36780">
      <w:pPr>
        <w:pStyle w:val="Heading1"/>
        <w:rPr>
          <w:rFonts w:ascii="Times New Roman" w:hAnsi="Times New Roman"/>
        </w:rPr>
      </w:pPr>
      <w:bookmarkStart w:id="22" w:name="_Toc206320789"/>
      <w:r w:rsidRPr="0010128E">
        <w:rPr>
          <w:rFonts w:ascii="Times New Roman" w:hAnsi="Times New Roman"/>
        </w:rPr>
        <w:t>Conclusion</w:t>
      </w:r>
      <w:r w:rsidR="00C36780" w:rsidRPr="0010128E">
        <w:rPr>
          <w:rFonts w:ascii="Times New Roman" w:hAnsi="Times New Roman"/>
        </w:rPr>
        <w:t>—L</w:t>
      </w:r>
      <w:r w:rsidRPr="0010128E">
        <w:rPr>
          <w:rFonts w:ascii="Times New Roman" w:hAnsi="Times New Roman"/>
        </w:rPr>
        <w:t>essons learned from Tanzania</w:t>
      </w:r>
      <w:bookmarkEnd w:id="22"/>
    </w:p>
    <w:p w14:paraId="65C748E6"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Distribution of scarce resources can be difficult to manage on an equitable basis, and health care remains no exception. This essay sought to consider the extent to which health care is available to all citizens by exploring the provision of </w:t>
      </w:r>
      <w:r>
        <w:rPr>
          <w:rFonts w:ascii="Times New Roman" w:hAnsi="Times New Roman"/>
          <w:sz w:val="24"/>
        </w:rPr>
        <w:t>PHC</w:t>
      </w:r>
      <w:r w:rsidRPr="0010128E">
        <w:rPr>
          <w:rFonts w:ascii="Times New Roman" w:hAnsi="Times New Roman"/>
          <w:sz w:val="24"/>
        </w:rPr>
        <w:t xml:space="preserve"> services in Tanzania; in particular, how does the Tanzanian government meet goals of equity in their provision of PHC? To meet goals of equity through the delivery of PHC services, the Tanzanian government has instituted a wide range of policies and programs that incorporate effective PHC strategies including decentralization, user fee abolition, and contracting out of services.</w:t>
      </w:r>
    </w:p>
    <w:p w14:paraId="29449E2F"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The success to which the Tanzanian government has utilized decentralization, user fee abolition and the contracting </w:t>
      </w:r>
      <w:r>
        <w:rPr>
          <w:rFonts w:ascii="Times New Roman" w:hAnsi="Times New Roman"/>
          <w:sz w:val="24"/>
        </w:rPr>
        <w:t xml:space="preserve">out </w:t>
      </w:r>
      <w:r w:rsidRPr="0010128E">
        <w:rPr>
          <w:rFonts w:ascii="Times New Roman" w:hAnsi="Times New Roman"/>
          <w:sz w:val="24"/>
        </w:rPr>
        <w:t>of services</w:t>
      </w:r>
      <w:r>
        <w:rPr>
          <w:rFonts w:ascii="Times New Roman" w:hAnsi="Times New Roman"/>
          <w:sz w:val="24"/>
        </w:rPr>
        <w:t>, however,</w:t>
      </w:r>
      <w:r w:rsidRPr="0010128E">
        <w:rPr>
          <w:rFonts w:ascii="Times New Roman" w:hAnsi="Times New Roman"/>
          <w:sz w:val="24"/>
        </w:rPr>
        <w:t xml:space="preserve"> varies. The Tanzanian government’s efforts have been strongest in the strategies of decentralization and contracting out of services and the weakest in their abolition of user fees. In particular, Tanzania has as history of decentralization in their health care system, which provides allocated roles at the various points from the central level down to district and local levels. This decentralized system allows for flexibility towards local health needs. Tanzania has focused on the growth of PPPs in distributing health services, which has been proven to be an effective method for extending the availability of PHC services to all citizens. </w:t>
      </w:r>
    </w:p>
    <w:p w14:paraId="487549DD" w14:textId="77777777" w:rsidR="00E14841" w:rsidRDefault="00E14841" w:rsidP="00E14841">
      <w:pPr>
        <w:spacing w:line="480" w:lineRule="auto"/>
        <w:ind w:firstLine="720"/>
        <w:rPr>
          <w:rFonts w:ascii="Times New Roman" w:hAnsi="Times New Roman"/>
          <w:sz w:val="24"/>
        </w:rPr>
      </w:pPr>
      <w:r w:rsidRPr="0010128E">
        <w:rPr>
          <w:rFonts w:ascii="Times New Roman" w:hAnsi="Times New Roman"/>
          <w:sz w:val="24"/>
        </w:rPr>
        <w:t>The overall financial burden is relatively progressive as a result of taxation and health insurance programs. The OOP costs reflect a marginally pro-rich finance structure</w:t>
      </w:r>
      <w:r>
        <w:rPr>
          <w:rFonts w:ascii="Times New Roman" w:hAnsi="Times New Roman"/>
          <w:sz w:val="24"/>
        </w:rPr>
        <w:t>;</w:t>
      </w:r>
      <w:r w:rsidRPr="0010128E">
        <w:rPr>
          <w:rFonts w:ascii="Times New Roman" w:hAnsi="Times New Roman"/>
          <w:sz w:val="24"/>
        </w:rPr>
        <w:t xml:space="preserve"> however</w:t>
      </w:r>
      <w:r>
        <w:rPr>
          <w:rFonts w:ascii="Times New Roman" w:hAnsi="Times New Roman"/>
          <w:sz w:val="24"/>
        </w:rPr>
        <w:t>,</w:t>
      </w:r>
      <w:r w:rsidRPr="0010128E">
        <w:rPr>
          <w:rFonts w:ascii="Times New Roman" w:hAnsi="Times New Roman"/>
          <w:sz w:val="24"/>
        </w:rPr>
        <w:t xml:space="preserve"> </w:t>
      </w:r>
      <w:r>
        <w:rPr>
          <w:rFonts w:ascii="Times New Roman" w:hAnsi="Times New Roman"/>
          <w:sz w:val="24"/>
        </w:rPr>
        <w:t>there has been an overall decrease in OOP expenditure as a percentage of private expenditure since the 1990s. This demonstrates the need for further examination of user fee exemptions and waivers as research suggests</w:t>
      </w:r>
      <w:r w:rsidRPr="009A6379">
        <w:rPr>
          <w:rFonts w:ascii="Times New Roman" w:hAnsi="Times New Roman"/>
          <w:sz w:val="24"/>
        </w:rPr>
        <w:t xml:space="preserve"> </w:t>
      </w:r>
      <w:r w:rsidRPr="0010128E">
        <w:rPr>
          <w:rFonts w:ascii="Times New Roman" w:hAnsi="Times New Roman"/>
          <w:sz w:val="24"/>
        </w:rPr>
        <w:t xml:space="preserve">that </w:t>
      </w:r>
      <w:r>
        <w:rPr>
          <w:rFonts w:ascii="Times New Roman" w:hAnsi="Times New Roman"/>
          <w:sz w:val="24"/>
        </w:rPr>
        <w:t xml:space="preserve">many </w:t>
      </w:r>
      <w:r w:rsidRPr="0010128E">
        <w:rPr>
          <w:rFonts w:ascii="Times New Roman" w:hAnsi="Times New Roman"/>
          <w:sz w:val="24"/>
        </w:rPr>
        <w:t xml:space="preserve">users still end up paying for </w:t>
      </w:r>
      <w:r>
        <w:rPr>
          <w:rFonts w:ascii="Times New Roman" w:hAnsi="Times New Roman"/>
          <w:sz w:val="24"/>
        </w:rPr>
        <w:t xml:space="preserve">“exempt” </w:t>
      </w:r>
      <w:r w:rsidRPr="0010128E">
        <w:rPr>
          <w:rFonts w:ascii="Times New Roman" w:hAnsi="Times New Roman"/>
          <w:sz w:val="24"/>
        </w:rPr>
        <w:t>services</w:t>
      </w:r>
      <w:r>
        <w:rPr>
          <w:rFonts w:ascii="Times New Roman" w:hAnsi="Times New Roman"/>
          <w:sz w:val="24"/>
        </w:rPr>
        <w:t xml:space="preserve"> </w:t>
      </w:r>
      <w:r w:rsidRPr="0010128E">
        <w:rPr>
          <w:rFonts w:ascii="Times New Roman" w:hAnsi="Times New Roman"/>
          <w:sz w:val="24"/>
        </w:rPr>
        <w:t>through unofficial provider payments</w:t>
      </w:r>
      <w:r>
        <w:rPr>
          <w:rFonts w:ascii="Times New Roman" w:hAnsi="Times New Roman"/>
          <w:sz w:val="24"/>
        </w:rPr>
        <w:t xml:space="preserve">. Government facilities appear to be the most equitable in their user fee exemptions and waivers, although consumer preference for FBOs demonstrates there may be differences between facilities in terms of quality of health services. </w:t>
      </w:r>
    </w:p>
    <w:p w14:paraId="569F867D" w14:textId="77777777" w:rsidR="00E14841"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In terms of access, PPPs </w:t>
      </w:r>
      <w:r>
        <w:rPr>
          <w:rFonts w:ascii="Times New Roman" w:hAnsi="Times New Roman"/>
          <w:sz w:val="24"/>
        </w:rPr>
        <w:t xml:space="preserve">prove to be an effective means of </w:t>
      </w:r>
      <w:r w:rsidRPr="0010128E">
        <w:rPr>
          <w:rFonts w:ascii="Times New Roman" w:hAnsi="Times New Roman"/>
          <w:sz w:val="24"/>
        </w:rPr>
        <w:t>extending</w:t>
      </w:r>
      <w:r>
        <w:rPr>
          <w:rFonts w:ascii="Times New Roman" w:hAnsi="Times New Roman"/>
          <w:sz w:val="24"/>
        </w:rPr>
        <w:t xml:space="preserve"> and contracting out</w:t>
      </w:r>
      <w:r w:rsidRPr="0010128E">
        <w:rPr>
          <w:rFonts w:ascii="Times New Roman" w:hAnsi="Times New Roman"/>
          <w:sz w:val="24"/>
        </w:rPr>
        <w:t xml:space="preserve"> services</w:t>
      </w:r>
      <w:r>
        <w:rPr>
          <w:rFonts w:ascii="Times New Roman" w:hAnsi="Times New Roman"/>
          <w:sz w:val="24"/>
        </w:rPr>
        <w:t>. Consequently</w:t>
      </w:r>
      <w:r w:rsidRPr="0010128E">
        <w:rPr>
          <w:rFonts w:ascii="Times New Roman" w:hAnsi="Times New Roman"/>
          <w:sz w:val="24"/>
        </w:rPr>
        <w:t xml:space="preserve">, the Tanzanian government must decide whom to extend health services through. </w:t>
      </w:r>
      <w:r>
        <w:rPr>
          <w:rFonts w:ascii="Times New Roman" w:hAnsi="Times New Roman"/>
          <w:sz w:val="24"/>
        </w:rPr>
        <w:t xml:space="preserve">While </w:t>
      </w:r>
      <w:r w:rsidRPr="0010128E">
        <w:rPr>
          <w:rFonts w:ascii="Times New Roman" w:hAnsi="Times New Roman"/>
          <w:sz w:val="24"/>
        </w:rPr>
        <w:t xml:space="preserve">government facilities provide the most comprehensive list of PHC services, FBOs appear to be the most equitable in their </w:t>
      </w:r>
      <w:r>
        <w:rPr>
          <w:rFonts w:ascii="Times New Roman" w:hAnsi="Times New Roman"/>
          <w:sz w:val="24"/>
        </w:rPr>
        <w:t>provision</w:t>
      </w:r>
      <w:r w:rsidRPr="0010128E">
        <w:rPr>
          <w:rFonts w:ascii="Times New Roman" w:hAnsi="Times New Roman"/>
          <w:sz w:val="24"/>
        </w:rPr>
        <w:t xml:space="preserve"> of services across income quintiles. </w:t>
      </w:r>
    </w:p>
    <w:p w14:paraId="40F75622" w14:textId="77777777" w:rsidR="00E14841" w:rsidRPr="0010128E" w:rsidRDefault="00E14841" w:rsidP="00E14841">
      <w:pPr>
        <w:spacing w:line="480" w:lineRule="auto"/>
        <w:ind w:firstLine="720"/>
        <w:rPr>
          <w:rFonts w:ascii="Times New Roman" w:hAnsi="Times New Roman"/>
          <w:sz w:val="24"/>
        </w:rPr>
      </w:pPr>
      <w:r>
        <w:rPr>
          <w:rFonts w:ascii="Times New Roman" w:hAnsi="Times New Roman"/>
          <w:sz w:val="24"/>
        </w:rPr>
        <w:t xml:space="preserve">FBOs </w:t>
      </w:r>
      <w:r w:rsidRPr="0010128E">
        <w:rPr>
          <w:rFonts w:ascii="Times New Roman" w:hAnsi="Times New Roman"/>
          <w:sz w:val="24"/>
        </w:rPr>
        <w:t xml:space="preserve">also have several strengths in addition to their equitable </w:t>
      </w:r>
      <w:r>
        <w:rPr>
          <w:rFonts w:ascii="Times New Roman" w:hAnsi="Times New Roman"/>
          <w:sz w:val="24"/>
        </w:rPr>
        <w:t>provision</w:t>
      </w:r>
      <w:r w:rsidRPr="0010128E">
        <w:rPr>
          <w:rFonts w:ascii="Times New Roman" w:hAnsi="Times New Roman"/>
          <w:sz w:val="24"/>
        </w:rPr>
        <w:t xml:space="preserve"> of services. First, they tend to be located in rural locations, providing services to those that might otherwise fall through the cracks. As a second strength, various studies have shown a consumer preference for FBO-provided services over that of government-provided services. Finally, while government facilities overall are more comprehensive in their provision of PHC-related services, FBOs show definite strengths in the provision of children’s health and delivery services. </w:t>
      </w:r>
    </w:p>
    <w:p w14:paraId="6BB01F54"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The 2007 National Health Policy acknowledges the strengths of the private sector and suggests areas for improvement through the use of government service level agreements. These agreements could potentially strengthen PHC services gaps in the private sector; government funding would essentially dictate which services a facility must provide. In working towards goals of equity and universal health care, policy recommendations would focus on strengthening PPPs between the government and FBOs rather than private-for-profit providers because of their existing efforts towards equity. Currently, there is inadequate mainstreaming of PPP at all levels.</w:t>
      </w:r>
    </w:p>
    <w:p w14:paraId="5EAED692" w14:textId="77777777" w:rsidR="00E14841" w:rsidRPr="0010128E" w:rsidRDefault="00E14841" w:rsidP="00E14841">
      <w:pPr>
        <w:spacing w:line="480" w:lineRule="auto"/>
        <w:ind w:firstLine="720"/>
        <w:rPr>
          <w:rFonts w:ascii="Times New Roman" w:hAnsi="Times New Roman"/>
          <w:sz w:val="24"/>
        </w:rPr>
      </w:pPr>
      <w:r w:rsidRPr="0010128E">
        <w:rPr>
          <w:rFonts w:ascii="Times New Roman" w:hAnsi="Times New Roman"/>
          <w:sz w:val="24"/>
        </w:rPr>
        <w:t xml:space="preserve">This review of the Tanzanian government’s efforts towards meeting the goals of access through the delivery of PHC services shows definitive strengths (decentralization and the use of non-governmental actors to extend services) and considerable weaknesses (the government’s ability to enforce user fee exemptions and waivers at facilities). It might even be argued that Tanzania’s strength of decentralization might inherently affect its ability to enforce policy at the local level. This shows that even with policy in place, policy goals are not always realized. Consequently, in the midst of a decentralized health system, local autonomy is needed to ensure that efforts across all levels are working towards improved access in the delivery of PHC.  </w:t>
      </w:r>
    </w:p>
    <w:p w14:paraId="432E2128" w14:textId="59C7EC76" w:rsidR="001F7298" w:rsidRPr="0010128E" w:rsidRDefault="001F7298" w:rsidP="00216ED6">
      <w:pPr>
        <w:spacing w:line="480" w:lineRule="auto"/>
        <w:ind w:firstLine="720"/>
        <w:rPr>
          <w:rFonts w:ascii="Times New Roman" w:hAnsi="Times New Roman"/>
          <w:sz w:val="24"/>
        </w:rPr>
      </w:pPr>
    </w:p>
    <w:p w14:paraId="5BBAD704" w14:textId="77777777" w:rsidR="00383457" w:rsidRPr="0010128E" w:rsidRDefault="00383457" w:rsidP="006F10DC">
      <w:pPr>
        <w:spacing w:line="480" w:lineRule="auto"/>
        <w:ind w:firstLine="720"/>
        <w:rPr>
          <w:rFonts w:ascii="Times New Roman" w:eastAsia="ＭＳ ゴシック" w:hAnsi="Times New Roman"/>
          <w:b/>
          <w:bCs/>
          <w:sz w:val="24"/>
        </w:rPr>
      </w:pPr>
      <w:r w:rsidRPr="0010128E">
        <w:rPr>
          <w:rFonts w:ascii="Times New Roman" w:hAnsi="Times New Roman"/>
          <w:bCs/>
          <w:sz w:val="24"/>
        </w:rPr>
        <w:br w:type="page"/>
      </w:r>
    </w:p>
    <w:p w14:paraId="29D7AC57" w14:textId="6D095189" w:rsidR="00D40D4D" w:rsidRPr="0010128E" w:rsidRDefault="002F7501" w:rsidP="00DB0993">
      <w:pPr>
        <w:pStyle w:val="Heading1"/>
        <w:rPr>
          <w:rFonts w:ascii="Times New Roman" w:hAnsi="Times New Roman"/>
        </w:rPr>
      </w:pPr>
      <w:bookmarkStart w:id="23" w:name="_Toc206320790"/>
      <w:r w:rsidRPr="0010128E">
        <w:rPr>
          <w:rFonts w:ascii="Times New Roman" w:hAnsi="Times New Roman"/>
        </w:rPr>
        <w:t>References</w:t>
      </w:r>
      <w:bookmarkEnd w:id="23"/>
    </w:p>
    <w:p w14:paraId="51FB510F"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Adjei, G., Maniple, E., Dokotala, D., Kahabi, J., Mpoza, I., Pamba, P., et al. (2009). </w:t>
      </w:r>
      <w:r w:rsidRPr="0010128E">
        <w:rPr>
          <w:rFonts w:ascii="Times New Roman" w:hAnsi="Times New Roman"/>
          <w:i/>
          <w:iCs/>
          <w:noProof/>
        </w:rPr>
        <w:t>Quest for quality: interventions to improve human resources for health among faith-based organizations.</w:t>
      </w:r>
      <w:r w:rsidRPr="0010128E">
        <w:rPr>
          <w:rFonts w:ascii="Times New Roman" w:hAnsi="Times New Roman"/>
          <w:noProof/>
        </w:rPr>
        <w:t xml:space="preserve"> The Hague: Cordaid and the Royal Tropical Institute.</w:t>
      </w:r>
    </w:p>
    <w:p w14:paraId="316182EB"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Ashcroft, J., Sweeney, R., Samei, M., Semos, I., &amp; Morgan, C. (2011). </w:t>
      </w:r>
      <w:r w:rsidRPr="0010128E">
        <w:rPr>
          <w:rFonts w:ascii="Times New Roman" w:hAnsi="Times New Roman"/>
          <w:i/>
          <w:iCs/>
          <w:noProof/>
        </w:rPr>
        <w:t>Strengthening church and government partnerships for primary health care delivery in Papua New Guinea: lessons from the international experience.</w:t>
      </w:r>
      <w:r w:rsidRPr="0010128E">
        <w:rPr>
          <w:rFonts w:ascii="Times New Roman" w:hAnsi="Times New Roman"/>
          <w:noProof/>
        </w:rPr>
        <w:t xml:space="preserve"> Health Policy and Health Finance Knowledge HUB, Working Paper Series, 16.</w:t>
      </w:r>
    </w:p>
    <w:p w14:paraId="04E83C61"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Atkinson, S., Fernandes, L., Carpara, A., &amp; Gideon, J. (2005). Prevention and promotion in decentralized rural health systems: a comparative study from northeast Brazil.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20</w:t>
      </w:r>
      <w:r w:rsidRPr="0010128E">
        <w:rPr>
          <w:rFonts w:ascii="Times New Roman" w:hAnsi="Times New Roman"/>
          <w:noProof/>
        </w:rPr>
        <w:t xml:space="preserve"> (2), 60-79.</w:t>
      </w:r>
    </w:p>
    <w:p w14:paraId="5C6101E5"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Biswas, R., Joshi, A., Joshi, R., Kaufman, T., Peterson, C., Sturmberg, J., et al. (2009). Revitalizing primary health care and family medicine/primary care in India – disruptive innovation? </w:t>
      </w:r>
      <w:r w:rsidRPr="0010128E">
        <w:rPr>
          <w:rFonts w:ascii="Times New Roman" w:hAnsi="Times New Roman"/>
          <w:i/>
          <w:iCs/>
          <w:noProof/>
        </w:rPr>
        <w:t>Journal of Evaluation in Clinical Practice</w:t>
      </w:r>
      <w:r w:rsidRPr="0010128E">
        <w:rPr>
          <w:rFonts w:ascii="Times New Roman" w:hAnsi="Times New Roman"/>
          <w:noProof/>
        </w:rPr>
        <w:t xml:space="preserve"> </w:t>
      </w:r>
      <w:r w:rsidRPr="0010128E">
        <w:rPr>
          <w:rFonts w:ascii="Times New Roman" w:hAnsi="Times New Roman"/>
          <w:i/>
          <w:iCs/>
          <w:noProof/>
        </w:rPr>
        <w:t>, 15</w:t>
      </w:r>
      <w:r w:rsidRPr="0010128E">
        <w:rPr>
          <w:rFonts w:ascii="Times New Roman" w:hAnsi="Times New Roman"/>
          <w:noProof/>
        </w:rPr>
        <w:t>, pp. 873-880.</w:t>
      </w:r>
    </w:p>
    <w:p w14:paraId="109291ED"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Blaauw, D., Gilson, L., Penn-Kekana, L., &amp; Schneider, H. (2003). </w:t>
      </w:r>
      <w:r w:rsidRPr="0010128E">
        <w:rPr>
          <w:rFonts w:ascii="Times New Roman" w:hAnsi="Times New Roman"/>
          <w:i/>
          <w:iCs/>
          <w:noProof/>
        </w:rPr>
        <w:t>Organisational relationships and the 'software' of health sector reform: background paper.</w:t>
      </w:r>
      <w:r w:rsidRPr="0010128E">
        <w:rPr>
          <w:rFonts w:ascii="Times New Roman" w:hAnsi="Times New Roman"/>
          <w:noProof/>
        </w:rPr>
        <w:t xml:space="preserve"> Centre for Health Policy , School of Public Health. University of the Witwatersrand.</w:t>
      </w:r>
    </w:p>
    <w:p w14:paraId="61F4DB81"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Bravement, P. (1998). </w:t>
      </w:r>
      <w:r w:rsidRPr="0010128E">
        <w:rPr>
          <w:rFonts w:ascii="Times New Roman" w:hAnsi="Times New Roman"/>
          <w:i/>
          <w:iCs/>
          <w:noProof/>
        </w:rPr>
        <w:t>Monitoring equity in health: A policy-oriented approach in low- and middle-income countries.</w:t>
      </w:r>
      <w:r w:rsidRPr="0010128E">
        <w:rPr>
          <w:rFonts w:ascii="Times New Roman" w:hAnsi="Times New Roman"/>
          <w:noProof/>
        </w:rPr>
        <w:t xml:space="preserve"> World Health Organization, Geneva.</w:t>
      </w:r>
    </w:p>
    <w:p w14:paraId="0995DCBA"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Breton, E., &amp; De Leeuw, E. (2011). Theories of the policy process in health promotion research: a review. </w:t>
      </w:r>
      <w:r w:rsidRPr="0010128E">
        <w:rPr>
          <w:rFonts w:ascii="Times New Roman" w:hAnsi="Times New Roman"/>
          <w:i/>
          <w:iCs/>
          <w:noProof/>
        </w:rPr>
        <w:t>Health Promotion International</w:t>
      </w:r>
      <w:r w:rsidRPr="0010128E">
        <w:rPr>
          <w:rFonts w:ascii="Times New Roman" w:hAnsi="Times New Roman"/>
          <w:noProof/>
        </w:rPr>
        <w:t xml:space="preserve"> </w:t>
      </w:r>
      <w:r w:rsidRPr="0010128E">
        <w:rPr>
          <w:rFonts w:ascii="Times New Roman" w:hAnsi="Times New Roman"/>
          <w:i/>
          <w:iCs/>
          <w:noProof/>
        </w:rPr>
        <w:t>, 26</w:t>
      </w:r>
      <w:r w:rsidRPr="0010128E">
        <w:rPr>
          <w:rFonts w:ascii="Times New Roman" w:hAnsi="Times New Roman"/>
          <w:noProof/>
        </w:rPr>
        <w:t xml:space="preserve"> (11), 82-90.</w:t>
      </w:r>
    </w:p>
    <w:p w14:paraId="4C9FA1F0" w14:textId="2DBBBCE1" w:rsidR="00AE4ABF" w:rsidRPr="0010128E" w:rsidRDefault="000169AC" w:rsidP="00AE4ABF">
      <w:pPr>
        <w:pStyle w:val="Bibliography"/>
        <w:spacing w:after="200"/>
        <w:rPr>
          <w:rFonts w:ascii="Times New Roman" w:hAnsi="Times New Roman"/>
          <w:noProof/>
          <w:szCs w:val="22"/>
        </w:rPr>
      </w:pPr>
      <w:r w:rsidRPr="0010128E">
        <w:rPr>
          <w:rFonts w:ascii="Times New Roman" w:eastAsia="Times New Roman" w:hAnsi="Times New Roman"/>
          <w:szCs w:val="22"/>
        </w:rPr>
        <w:t>Dambisy</w:t>
      </w:r>
      <w:r>
        <w:rPr>
          <w:rFonts w:ascii="Times New Roman" w:eastAsia="Times New Roman" w:hAnsi="Times New Roman"/>
          <w:szCs w:val="22"/>
        </w:rPr>
        <w:t>a</w:t>
      </w:r>
      <w:r w:rsidR="00827CCB" w:rsidRPr="0010128E">
        <w:rPr>
          <w:rFonts w:ascii="Times New Roman" w:eastAsia="Times New Roman" w:hAnsi="Times New Roman"/>
          <w:szCs w:val="22"/>
        </w:rPr>
        <w:t xml:space="preserve">, Y. M., &amp; Ichoku, H. E. (2012). African triage: Assessing alternatives to health care privatisation south of the Sahara. In D. McDonald &amp; G. Ruiters (Eds.), </w:t>
      </w:r>
      <w:r w:rsidR="00827CCB" w:rsidRPr="0010128E">
        <w:rPr>
          <w:rStyle w:val="Emphasis"/>
          <w:rFonts w:ascii="Times New Roman" w:eastAsia="Times New Roman" w:hAnsi="Times New Roman"/>
          <w:szCs w:val="22"/>
        </w:rPr>
        <w:t xml:space="preserve">Alternatives to Privatization Public Options for Essential Services in the Global South, </w:t>
      </w:r>
      <w:r w:rsidR="00827CCB" w:rsidRPr="0010128E">
        <w:rPr>
          <w:rFonts w:ascii="Times New Roman" w:eastAsia="Times New Roman" w:hAnsi="Times New Roman"/>
          <w:szCs w:val="22"/>
        </w:rPr>
        <w:t>New York: Routledge.</w:t>
      </w:r>
    </w:p>
    <w:p w14:paraId="23144410"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Disease Control Priorities Project. (2007). </w:t>
      </w:r>
      <w:r w:rsidRPr="0010128E">
        <w:rPr>
          <w:rFonts w:ascii="Times New Roman" w:hAnsi="Times New Roman"/>
          <w:i/>
          <w:iCs/>
          <w:noProof/>
        </w:rPr>
        <w:t>Primary health care: key to delivering cost-effective interventions.</w:t>
      </w:r>
      <w:r w:rsidRPr="0010128E">
        <w:rPr>
          <w:rFonts w:ascii="Times New Roman" w:hAnsi="Times New Roman"/>
          <w:noProof/>
        </w:rPr>
        <w:t xml:space="preserve"> Fogarty International Center of the U.S., National Institutes of Health, The World Bank, World Health Organization, Population Reference Bureau, and the Bill &amp; Melinda Gates Foundation.</w:t>
      </w:r>
    </w:p>
    <w:p w14:paraId="5B83E56A"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Fafard, P. (2008). </w:t>
      </w:r>
      <w:r w:rsidRPr="0010128E">
        <w:rPr>
          <w:rFonts w:ascii="Times New Roman" w:hAnsi="Times New Roman"/>
          <w:i/>
          <w:iCs/>
          <w:noProof/>
        </w:rPr>
        <w:t>Evidence and health public policy: insights from health and political sciences.</w:t>
      </w:r>
      <w:r w:rsidRPr="0010128E">
        <w:rPr>
          <w:rFonts w:ascii="Times New Roman" w:hAnsi="Times New Roman"/>
          <w:noProof/>
        </w:rPr>
        <w:t xml:space="preserve"> National Collaborating Centre for Healthy Public Policy.</w:t>
      </w:r>
    </w:p>
    <w:p w14:paraId="6E04F7E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Foster, N. (2012). </w:t>
      </w:r>
      <w:r w:rsidRPr="0010128E">
        <w:rPr>
          <w:rFonts w:ascii="Times New Roman" w:hAnsi="Times New Roman"/>
          <w:i/>
          <w:iCs/>
          <w:noProof/>
        </w:rPr>
        <w:t>Private sector involvement in health services in East and Southern Africa: country profiles.</w:t>
      </w:r>
      <w:r w:rsidRPr="0010128E">
        <w:rPr>
          <w:rFonts w:ascii="Times New Roman" w:hAnsi="Times New Roman"/>
          <w:noProof/>
        </w:rPr>
        <w:t xml:space="preserve"> Discussion paper 89, Health Economics Unit (UCT). Harare: EQUINET.</w:t>
      </w:r>
    </w:p>
    <w:p w14:paraId="4FA78EC5"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Gagnon, F., Trugeon, J., &amp; Dallaire, C. (2007). Healthy public policy: a conceptual cognitive framework. </w:t>
      </w:r>
      <w:r w:rsidRPr="0010128E">
        <w:rPr>
          <w:rFonts w:ascii="Times New Roman" w:hAnsi="Times New Roman"/>
          <w:i/>
          <w:iCs/>
          <w:noProof/>
        </w:rPr>
        <w:t>Health Policy</w:t>
      </w:r>
      <w:r w:rsidRPr="0010128E">
        <w:rPr>
          <w:rFonts w:ascii="Times New Roman" w:hAnsi="Times New Roman"/>
          <w:noProof/>
        </w:rPr>
        <w:t xml:space="preserve"> </w:t>
      </w:r>
      <w:r w:rsidRPr="0010128E">
        <w:rPr>
          <w:rFonts w:ascii="Times New Roman" w:hAnsi="Times New Roman"/>
          <w:i/>
          <w:iCs/>
          <w:noProof/>
        </w:rPr>
        <w:t>, 81</w:t>
      </w:r>
      <w:r w:rsidRPr="0010128E">
        <w:rPr>
          <w:rFonts w:ascii="Times New Roman" w:hAnsi="Times New Roman"/>
          <w:noProof/>
        </w:rPr>
        <w:t xml:space="preserve"> (1), 42-55.</w:t>
      </w:r>
    </w:p>
    <w:p w14:paraId="6A1CEF6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Gilson, L., Erasmus, E., Borghi, J., Macha, J., Kamuzora, P., &amp; Mtei, G. (2012). Using stakeholder analysis to support moves towards universal coverage: lessons from the SHIELD project.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27</w:t>
      </w:r>
      <w:r w:rsidRPr="0010128E">
        <w:rPr>
          <w:rFonts w:ascii="Times New Roman" w:hAnsi="Times New Roman"/>
          <w:noProof/>
        </w:rPr>
        <w:t>, i64-i76.</w:t>
      </w:r>
    </w:p>
    <w:p w14:paraId="731972CC"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Goergen, H., Hingora, A., Mazali, D., Prytherch, H., &amp; Sulul, A. (2007). </w:t>
      </w:r>
      <w:r w:rsidRPr="0010128E">
        <w:rPr>
          <w:rFonts w:ascii="Times New Roman" w:hAnsi="Times New Roman"/>
          <w:i/>
          <w:iCs/>
          <w:noProof/>
        </w:rPr>
        <w:t>Core module 1: health sector reforms and district health system.</w:t>
      </w:r>
      <w:r w:rsidRPr="0010128E">
        <w:rPr>
          <w:rFonts w:ascii="Times New Roman" w:hAnsi="Times New Roman"/>
          <w:noProof/>
        </w:rPr>
        <w:t xml:space="preserve"> Da es Salaam: The Ministry of Health and Social Welfare Tanzania (MOHSW).</w:t>
      </w:r>
    </w:p>
    <w:p w14:paraId="3255EC47"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Green, A., Shaw, J., Dimmock, F., &amp; Conn, C. (2002). A shared mission? Changing relationships between government and church health services in Africa. </w:t>
      </w:r>
      <w:r w:rsidRPr="0010128E">
        <w:rPr>
          <w:rFonts w:ascii="Times New Roman" w:hAnsi="Times New Roman"/>
          <w:i/>
          <w:iCs/>
          <w:noProof/>
        </w:rPr>
        <w:t>International Journal of Health Planning and Managment</w:t>
      </w:r>
      <w:r w:rsidRPr="0010128E">
        <w:rPr>
          <w:rFonts w:ascii="Times New Roman" w:hAnsi="Times New Roman"/>
          <w:noProof/>
        </w:rPr>
        <w:t xml:space="preserve"> </w:t>
      </w:r>
      <w:r w:rsidRPr="0010128E">
        <w:rPr>
          <w:rFonts w:ascii="Times New Roman" w:hAnsi="Times New Roman"/>
          <w:i/>
          <w:iCs/>
          <w:noProof/>
        </w:rPr>
        <w:t>, 17</w:t>
      </w:r>
      <w:r w:rsidRPr="0010128E">
        <w:rPr>
          <w:rFonts w:ascii="Times New Roman" w:hAnsi="Times New Roman"/>
          <w:noProof/>
        </w:rPr>
        <w:t>, 333-353.</w:t>
      </w:r>
    </w:p>
    <w:p w14:paraId="2556367D"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Harding, A. (2009). </w:t>
      </w:r>
      <w:r w:rsidRPr="0010128E">
        <w:rPr>
          <w:rFonts w:ascii="Times New Roman" w:hAnsi="Times New Roman"/>
          <w:i/>
          <w:iCs/>
          <w:noProof/>
        </w:rPr>
        <w:t>Partnerships with the private sector in health: What the international community can do to strengthen health systems in developing countries.</w:t>
      </w:r>
      <w:r w:rsidRPr="0010128E">
        <w:rPr>
          <w:rFonts w:ascii="Times New Roman" w:hAnsi="Times New Roman"/>
          <w:noProof/>
        </w:rPr>
        <w:t xml:space="preserve"> Final Report of the Private Sector Advisory Facility Working Group. Center for Global Development.</w:t>
      </w:r>
    </w:p>
    <w:p w14:paraId="777512F4"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Haydom Lutheran Hospital. (2011). </w:t>
      </w:r>
      <w:r w:rsidRPr="0010128E">
        <w:rPr>
          <w:rFonts w:ascii="Times New Roman" w:hAnsi="Times New Roman"/>
          <w:i/>
          <w:iCs/>
          <w:noProof/>
        </w:rPr>
        <w:t>Annual progress report 2010.</w:t>
      </w:r>
      <w:r w:rsidRPr="0010128E">
        <w:rPr>
          <w:rFonts w:ascii="Times New Roman" w:hAnsi="Times New Roman"/>
          <w:noProof/>
        </w:rPr>
        <w:t xml:space="preserve"> Tanzania: To the Royal Norwegian Embassy.</w:t>
      </w:r>
    </w:p>
    <w:p w14:paraId="616507A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Health Research for Action. (2006). </w:t>
      </w:r>
      <w:r w:rsidRPr="0010128E">
        <w:rPr>
          <w:rFonts w:ascii="Times New Roman" w:hAnsi="Times New Roman"/>
          <w:i/>
          <w:iCs/>
          <w:noProof/>
        </w:rPr>
        <w:t>TECHNICAL REVIEW 2006 District Health Services Delivery in Tanzania Where are we in terms of quantity and quality of health care provision? FINAL REPORT.</w:t>
      </w:r>
      <w:r w:rsidRPr="0010128E">
        <w:rPr>
          <w:rFonts w:ascii="Times New Roman" w:hAnsi="Times New Roman"/>
          <w:noProof/>
        </w:rPr>
        <w:t xml:space="preserve"> </w:t>
      </w:r>
    </w:p>
    <w:p w14:paraId="7BE3C352"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Humphreys, J., &amp; Wakerman, J. (1008). </w:t>
      </w:r>
      <w:r w:rsidRPr="0010128E">
        <w:rPr>
          <w:rFonts w:ascii="Times New Roman" w:hAnsi="Times New Roman"/>
          <w:i/>
          <w:iCs/>
          <w:noProof/>
        </w:rPr>
        <w:t>Primary health care in rural and remote Australia: achieving equity of access and outcomes through national reform: a discussion paper. .</w:t>
      </w:r>
      <w:r w:rsidRPr="0010128E">
        <w:rPr>
          <w:rFonts w:ascii="Times New Roman" w:hAnsi="Times New Roman"/>
          <w:noProof/>
        </w:rPr>
        <w:t xml:space="preserve"> Centre of Flinders University and Charles Darwin University, Alice Springs. Canberra: onash University School of Rural Health, Bendigo &amp; Centre for Remote Health.</w:t>
      </w:r>
    </w:p>
    <w:p w14:paraId="6BC91453"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Hysing, E., &amp; Olsson, J. (2008). Contextualising the Advocacy Coalition Framework: theorising change in Swedish forest policy. </w:t>
      </w:r>
      <w:r w:rsidRPr="0010128E">
        <w:rPr>
          <w:rFonts w:ascii="Times New Roman" w:hAnsi="Times New Roman"/>
          <w:i/>
          <w:iCs/>
          <w:noProof/>
        </w:rPr>
        <w:t>Environmental Politics</w:t>
      </w:r>
      <w:r w:rsidRPr="0010128E">
        <w:rPr>
          <w:rFonts w:ascii="Times New Roman" w:hAnsi="Times New Roman"/>
          <w:noProof/>
        </w:rPr>
        <w:t xml:space="preserve"> </w:t>
      </w:r>
      <w:r w:rsidRPr="0010128E">
        <w:rPr>
          <w:rFonts w:ascii="Times New Roman" w:hAnsi="Times New Roman"/>
          <w:i/>
          <w:iCs/>
          <w:noProof/>
        </w:rPr>
        <w:t>, 17</w:t>
      </w:r>
      <w:r w:rsidRPr="0010128E">
        <w:rPr>
          <w:rFonts w:ascii="Times New Roman" w:hAnsi="Times New Roman"/>
          <w:noProof/>
        </w:rPr>
        <w:t xml:space="preserve"> (5), 730-748.</w:t>
      </w:r>
    </w:p>
    <w:p w14:paraId="1C1DB7F4"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Kowalewski, M., Phare, M., &amp; Albrecht, J. (2002). Can mothers afford matern health care costs? User costs of maternity services in rural Tanzania. </w:t>
      </w:r>
      <w:r w:rsidRPr="0010128E">
        <w:rPr>
          <w:rFonts w:ascii="Times New Roman" w:hAnsi="Times New Roman"/>
          <w:i/>
          <w:iCs/>
          <w:noProof/>
        </w:rPr>
        <w:t>African Journal of Reproductive Health</w:t>
      </w:r>
      <w:r w:rsidRPr="0010128E">
        <w:rPr>
          <w:rFonts w:ascii="Times New Roman" w:hAnsi="Times New Roman"/>
          <w:noProof/>
        </w:rPr>
        <w:t xml:space="preserve"> </w:t>
      </w:r>
      <w:r w:rsidRPr="0010128E">
        <w:rPr>
          <w:rFonts w:ascii="Times New Roman" w:hAnsi="Times New Roman"/>
          <w:i/>
          <w:iCs/>
          <w:noProof/>
        </w:rPr>
        <w:t>, 6</w:t>
      </w:r>
      <w:r w:rsidRPr="0010128E">
        <w:rPr>
          <w:rFonts w:ascii="Times New Roman" w:hAnsi="Times New Roman"/>
          <w:noProof/>
        </w:rPr>
        <w:t xml:space="preserve"> (1), 65-73.</w:t>
      </w:r>
    </w:p>
    <w:p w14:paraId="3B26D29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Kruk, M., Mbaruku, G., McCord, C., Moran, M., Rockers, P., &amp; Galea, S. (2009). Bypassing primary care facilities for childbirth: A population-based study in rural Tanzania.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24</w:t>
      </w:r>
      <w:r w:rsidRPr="0010128E">
        <w:rPr>
          <w:rFonts w:ascii="Times New Roman" w:hAnsi="Times New Roman"/>
          <w:noProof/>
        </w:rPr>
        <w:t>, 279-288.</w:t>
      </w:r>
    </w:p>
    <w:p w14:paraId="5B6A11F2"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Kruk, M., Mbaruku, G., Rockers, P., &amp; Galea, S. (2008). User fee exemptions are not enough: Out-of-pocket payments for 'free' delivery services in rural Tanzania. </w:t>
      </w:r>
      <w:r w:rsidRPr="0010128E">
        <w:rPr>
          <w:rFonts w:ascii="Times New Roman" w:hAnsi="Times New Roman"/>
          <w:i/>
          <w:iCs/>
          <w:noProof/>
        </w:rPr>
        <w:t>Tropical Medicine and International Health</w:t>
      </w:r>
      <w:r w:rsidRPr="0010128E">
        <w:rPr>
          <w:rFonts w:ascii="Times New Roman" w:hAnsi="Times New Roman"/>
          <w:noProof/>
        </w:rPr>
        <w:t xml:space="preserve"> </w:t>
      </w:r>
      <w:r w:rsidRPr="0010128E">
        <w:rPr>
          <w:rFonts w:ascii="Times New Roman" w:hAnsi="Times New Roman"/>
          <w:i/>
          <w:iCs/>
          <w:noProof/>
        </w:rPr>
        <w:t>, 13</w:t>
      </w:r>
      <w:r w:rsidRPr="0010128E">
        <w:rPr>
          <w:rFonts w:ascii="Times New Roman" w:hAnsi="Times New Roman"/>
          <w:noProof/>
        </w:rPr>
        <w:t xml:space="preserve"> (12), 1442-1451.</w:t>
      </w:r>
    </w:p>
    <w:p w14:paraId="0F3F4D01"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Kutzin, J. (2001). A descriptive framework for country-level analysis of health care financing arrangements. </w:t>
      </w:r>
      <w:r w:rsidRPr="0010128E">
        <w:rPr>
          <w:rFonts w:ascii="Times New Roman" w:hAnsi="Times New Roman"/>
          <w:i/>
          <w:iCs/>
          <w:noProof/>
        </w:rPr>
        <w:t>Health Policy</w:t>
      </w:r>
      <w:r w:rsidRPr="0010128E">
        <w:rPr>
          <w:rFonts w:ascii="Times New Roman" w:hAnsi="Times New Roman"/>
          <w:noProof/>
        </w:rPr>
        <w:t xml:space="preserve"> </w:t>
      </w:r>
      <w:r w:rsidRPr="0010128E">
        <w:rPr>
          <w:rFonts w:ascii="Times New Roman" w:hAnsi="Times New Roman"/>
          <w:i/>
          <w:iCs/>
          <w:noProof/>
        </w:rPr>
        <w:t>, 56</w:t>
      </w:r>
      <w:r w:rsidRPr="0010128E">
        <w:rPr>
          <w:rFonts w:ascii="Times New Roman" w:hAnsi="Times New Roman"/>
          <w:noProof/>
        </w:rPr>
        <w:t>, 171-204.</w:t>
      </w:r>
    </w:p>
    <w:p w14:paraId="0A79DBE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Landau, L. (2008). </w:t>
      </w:r>
      <w:r w:rsidRPr="0010128E">
        <w:rPr>
          <w:rFonts w:ascii="Times New Roman" w:hAnsi="Times New Roman"/>
          <w:i/>
          <w:iCs/>
          <w:noProof/>
        </w:rPr>
        <w:t>The humanitarian hangover: displacement, aid and transformation in Western Tanzania.</w:t>
      </w:r>
      <w:r w:rsidRPr="0010128E">
        <w:rPr>
          <w:rFonts w:ascii="Times New Roman" w:hAnsi="Times New Roman"/>
          <w:noProof/>
        </w:rPr>
        <w:t xml:space="preserve"> Johannesburg: Witwatersrand University Press.</w:t>
      </w:r>
    </w:p>
    <w:p w14:paraId="7FF62420"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Leonard, K., &amp; Masatu, M. (2007). Variation in the quality of care accessible to rural communities in Tanzania. </w:t>
      </w:r>
      <w:r w:rsidRPr="0010128E">
        <w:rPr>
          <w:rFonts w:ascii="Times New Roman" w:hAnsi="Times New Roman"/>
          <w:i/>
          <w:iCs/>
          <w:noProof/>
        </w:rPr>
        <w:t>Health Affairs</w:t>
      </w:r>
      <w:r w:rsidRPr="0010128E">
        <w:rPr>
          <w:rFonts w:ascii="Times New Roman" w:hAnsi="Times New Roman"/>
          <w:noProof/>
        </w:rPr>
        <w:t xml:space="preserve"> </w:t>
      </w:r>
      <w:r w:rsidRPr="0010128E">
        <w:rPr>
          <w:rFonts w:ascii="Times New Roman" w:hAnsi="Times New Roman"/>
          <w:i/>
          <w:iCs/>
          <w:noProof/>
        </w:rPr>
        <w:t>, 26</w:t>
      </w:r>
      <w:r w:rsidRPr="0010128E">
        <w:rPr>
          <w:rFonts w:ascii="Times New Roman" w:hAnsi="Times New Roman"/>
          <w:noProof/>
        </w:rPr>
        <w:t xml:space="preserve"> (3), w380-w392.</w:t>
      </w:r>
    </w:p>
    <w:p w14:paraId="20D4DF74"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Lipsky, A. (2011). Evaluating the strength of faith: potential comparative advantages of faith-based organzations providing health services in sub-Saharan Africa. </w:t>
      </w:r>
      <w:r w:rsidRPr="0010128E">
        <w:rPr>
          <w:rFonts w:ascii="Times New Roman" w:hAnsi="Times New Roman"/>
          <w:i/>
          <w:iCs/>
          <w:noProof/>
        </w:rPr>
        <w:t>Public Administration and Development</w:t>
      </w:r>
      <w:r w:rsidRPr="0010128E">
        <w:rPr>
          <w:rFonts w:ascii="Times New Roman" w:hAnsi="Times New Roman"/>
          <w:noProof/>
        </w:rPr>
        <w:t xml:space="preserve"> </w:t>
      </w:r>
      <w:r w:rsidRPr="0010128E">
        <w:rPr>
          <w:rFonts w:ascii="Times New Roman" w:hAnsi="Times New Roman"/>
          <w:i/>
          <w:iCs/>
          <w:noProof/>
        </w:rPr>
        <w:t>, 31</w:t>
      </w:r>
      <w:r w:rsidRPr="0010128E">
        <w:rPr>
          <w:rFonts w:ascii="Times New Roman" w:hAnsi="Times New Roman"/>
          <w:noProof/>
        </w:rPr>
        <w:t>, 25-36.</w:t>
      </w:r>
    </w:p>
    <w:p w14:paraId="218D3A7C"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Liu, X., Hotchkiss, D., &amp; Bose, S. (2008). The effectiveness of contracting-out primary health care services in developing countries: a review of the evidence.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21</w:t>
      </w:r>
      <w:r w:rsidRPr="0010128E">
        <w:rPr>
          <w:rFonts w:ascii="Times New Roman" w:hAnsi="Times New Roman"/>
          <w:noProof/>
        </w:rPr>
        <w:t>, 1-13.</w:t>
      </w:r>
    </w:p>
    <w:p w14:paraId="42097C9D"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Macha, J., Harris, B., Garshong, B., Ataguba, J., Akazili, J., Kuwawenaruwa, A., et al. (2012). Factors influencing the burden of health care financing and the distribution of health care benefits in Ghana, Tanzania, and South Africa.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27</w:t>
      </w:r>
      <w:r w:rsidRPr="0010128E">
        <w:rPr>
          <w:rFonts w:ascii="Times New Roman" w:hAnsi="Times New Roman"/>
          <w:noProof/>
        </w:rPr>
        <w:t>, i46-i54.</w:t>
      </w:r>
    </w:p>
    <w:p w14:paraId="00FE7D83"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Maestada, O., &amp; Mwisongob, A. (2011). Informal payments and the quality of health care: Mechanisms revealed by Tanzian health workers. </w:t>
      </w:r>
      <w:r w:rsidRPr="0010128E">
        <w:rPr>
          <w:rFonts w:ascii="Times New Roman" w:hAnsi="Times New Roman"/>
          <w:i/>
          <w:iCs/>
          <w:noProof/>
        </w:rPr>
        <w:t>Health Policy</w:t>
      </w:r>
      <w:r w:rsidRPr="0010128E">
        <w:rPr>
          <w:rFonts w:ascii="Times New Roman" w:hAnsi="Times New Roman"/>
          <w:noProof/>
        </w:rPr>
        <w:t xml:space="preserve"> </w:t>
      </w:r>
      <w:r w:rsidRPr="0010128E">
        <w:rPr>
          <w:rFonts w:ascii="Times New Roman" w:hAnsi="Times New Roman"/>
          <w:i/>
          <w:iCs/>
          <w:noProof/>
        </w:rPr>
        <w:t>, 99</w:t>
      </w:r>
      <w:r w:rsidRPr="0010128E">
        <w:rPr>
          <w:rFonts w:ascii="Times New Roman" w:hAnsi="Times New Roman"/>
          <w:noProof/>
        </w:rPr>
        <w:t>, 107-115.</w:t>
      </w:r>
    </w:p>
    <w:p w14:paraId="3E21C256"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Makawia, S., Macha, J., Ally, M., &amp; Borghi, J. (2010). </w:t>
      </w:r>
      <w:r w:rsidRPr="0010128E">
        <w:rPr>
          <w:rFonts w:ascii="Times New Roman" w:hAnsi="Times New Roman"/>
          <w:i/>
          <w:iCs/>
          <w:noProof/>
        </w:rPr>
        <w:t>An assessment of the distribution of health service benefits in Tanzania.</w:t>
      </w:r>
      <w:r w:rsidRPr="0010128E">
        <w:rPr>
          <w:rFonts w:ascii="Times New Roman" w:hAnsi="Times New Roman"/>
          <w:noProof/>
        </w:rPr>
        <w:t xml:space="preserve"> Cape Town: SHIELD Work Package 3 Report.</w:t>
      </w:r>
    </w:p>
    <w:p w14:paraId="30293C7A"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Maluka, S., Kamuzora, P., San Sebastian, M., Byskov, J., Ndawi, B., Olsen, O., et al. (2011). Implementing accountability for reasonablenes framework at district level in Tanzania: A realist evaluation. </w:t>
      </w:r>
      <w:r w:rsidRPr="0010128E">
        <w:rPr>
          <w:rFonts w:ascii="Times New Roman" w:hAnsi="Times New Roman"/>
          <w:i/>
          <w:iCs/>
          <w:noProof/>
        </w:rPr>
        <w:t>Implementation Science</w:t>
      </w:r>
      <w:r w:rsidRPr="0010128E">
        <w:rPr>
          <w:rFonts w:ascii="Times New Roman" w:hAnsi="Times New Roman"/>
          <w:noProof/>
        </w:rPr>
        <w:t xml:space="preserve"> </w:t>
      </w:r>
      <w:r w:rsidRPr="0010128E">
        <w:rPr>
          <w:rFonts w:ascii="Times New Roman" w:hAnsi="Times New Roman"/>
          <w:i/>
          <w:iCs/>
          <w:noProof/>
        </w:rPr>
        <w:t>, 6</w:t>
      </w:r>
      <w:r w:rsidRPr="0010128E">
        <w:rPr>
          <w:rFonts w:ascii="Times New Roman" w:hAnsi="Times New Roman"/>
          <w:noProof/>
        </w:rPr>
        <w:t xml:space="preserve"> (11).</w:t>
      </w:r>
    </w:p>
    <w:p w14:paraId="3901F474"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Maluka, S., Kamuzora, P., San Sebastian, M., Byskov, J., Olsen, O., Shayo, E., et al. (2010). Decentralized health care priority setting in Tanzania: Evaluating against the accountability for reasonableness framework. </w:t>
      </w:r>
      <w:r w:rsidRPr="0010128E">
        <w:rPr>
          <w:rFonts w:ascii="Times New Roman" w:hAnsi="Times New Roman"/>
          <w:i/>
          <w:iCs/>
          <w:noProof/>
        </w:rPr>
        <w:t>Social Science &amp; Medicine</w:t>
      </w:r>
      <w:r w:rsidRPr="0010128E">
        <w:rPr>
          <w:rFonts w:ascii="Times New Roman" w:hAnsi="Times New Roman"/>
          <w:noProof/>
        </w:rPr>
        <w:t xml:space="preserve"> </w:t>
      </w:r>
      <w:r w:rsidRPr="0010128E">
        <w:rPr>
          <w:rFonts w:ascii="Times New Roman" w:hAnsi="Times New Roman"/>
          <w:i/>
          <w:iCs/>
          <w:noProof/>
        </w:rPr>
        <w:t>, 71</w:t>
      </w:r>
      <w:r w:rsidRPr="0010128E">
        <w:rPr>
          <w:rFonts w:ascii="Times New Roman" w:hAnsi="Times New Roman"/>
          <w:noProof/>
        </w:rPr>
        <w:t>, 751-759.</w:t>
      </w:r>
    </w:p>
    <w:p w14:paraId="1B0BE1B5"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Manji, K. </w:t>
      </w:r>
      <w:r w:rsidRPr="0010128E">
        <w:rPr>
          <w:rFonts w:ascii="Times New Roman" w:hAnsi="Times New Roman"/>
          <w:i/>
          <w:iCs/>
          <w:noProof/>
        </w:rPr>
        <w:t>Situation analysis of newborn health in Tanzania: Current situation, existing plans and strategic next steps for newborn health.</w:t>
      </w:r>
      <w:r w:rsidRPr="0010128E">
        <w:rPr>
          <w:rFonts w:ascii="Times New Roman" w:hAnsi="Times New Roman"/>
          <w:noProof/>
        </w:rPr>
        <w:t xml:space="preserve"> Ministry of Health and Social Welfare. Dar es Salaam: Save the Children.</w:t>
      </w:r>
    </w:p>
    <w:p w14:paraId="31DE8EE2" w14:textId="6B0CE302" w:rsidR="00AE4ABF" w:rsidRPr="0010128E" w:rsidRDefault="00A24340" w:rsidP="00AE4ABF">
      <w:pPr>
        <w:pStyle w:val="Bibliography"/>
        <w:spacing w:after="200"/>
        <w:rPr>
          <w:rFonts w:ascii="Times New Roman" w:hAnsi="Times New Roman"/>
          <w:noProof/>
        </w:rPr>
      </w:pPr>
      <w:r w:rsidRPr="0010128E">
        <w:rPr>
          <w:rFonts w:ascii="Times New Roman" w:hAnsi="Times New Roman"/>
          <w:noProof/>
        </w:rPr>
        <w:t xml:space="preserve">Marrone, S. </w:t>
      </w:r>
      <w:r w:rsidR="00AE4ABF" w:rsidRPr="0010128E">
        <w:rPr>
          <w:rFonts w:ascii="Times New Roman" w:hAnsi="Times New Roman"/>
          <w:noProof/>
        </w:rPr>
        <w:t>(2007).</w:t>
      </w:r>
      <w:r w:rsidRPr="0010128E">
        <w:rPr>
          <w:rFonts w:ascii="Times New Roman" w:hAnsi="Times New Roman"/>
          <w:noProof/>
        </w:rPr>
        <w:t xml:space="preserve"> Understanding barriers to health care: A review of disparities in health care services among indigenous populations. </w:t>
      </w:r>
      <w:r w:rsidRPr="0010128E">
        <w:rPr>
          <w:rFonts w:ascii="Times New Roman" w:hAnsi="Times New Roman"/>
          <w:i/>
          <w:noProof/>
        </w:rPr>
        <w:t xml:space="preserve">International Journal of Circumpolar Health, </w:t>
      </w:r>
      <w:r w:rsidRPr="0010128E">
        <w:rPr>
          <w:rFonts w:ascii="Times New Roman" w:hAnsi="Times New Roman"/>
          <w:noProof/>
        </w:rPr>
        <w:t>66(3), 188-198.</w:t>
      </w:r>
    </w:p>
    <w:p w14:paraId="421C3B6F" w14:textId="541C8923"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Mbuyita, S., &amp; Makemba, A. (2007). </w:t>
      </w:r>
      <w:r w:rsidRPr="0010128E">
        <w:rPr>
          <w:rFonts w:ascii="Times New Roman" w:hAnsi="Times New Roman"/>
          <w:i/>
          <w:iCs/>
          <w:noProof/>
        </w:rPr>
        <w:t>Equity in health in Tanzania: Translating national goals to district realities.</w:t>
      </w:r>
      <w:r w:rsidRPr="0010128E">
        <w:rPr>
          <w:rFonts w:ascii="Times New Roman" w:hAnsi="Times New Roman"/>
          <w:noProof/>
        </w:rPr>
        <w:t xml:space="preserve"> Ifakara Health Research and Development Centre, Tanzania with the Regional Network for Equity in Health in East and Southern Africa. </w:t>
      </w:r>
      <w:r w:rsidR="00A24340" w:rsidRPr="0010128E">
        <w:rPr>
          <w:rFonts w:ascii="Times New Roman" w:hAnsi="Times New Roman"/>
          <w:noProof/>
        </w:rPr>
        <w:t>Equinet Discussion Paper</w:t>
      </w:r>
      <w:r w:rsidRPr="0010128E">
        <w:rPr>
          <w:rFonts w:ascii="Times New Roman" w:hAnsi="Times New Roman"/>
          <w:noProof/>
        </w:rPr>
        <w:t xml:space="preserve"> 54.</w:t>
      </w:r>
    </w:p>
    <w:p w14:paraId="5020E82A"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Meessen, B., Hercot, D., Noirhomme, M., Ridde, V., Tibouti, A., Tashobya, C., et al. (2011). Removing user fees in the health sector: A review of policy processes in six sub-Saharn African countries.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26</w:t>
      </w:r>
      <w:r w:rsidRPr="0010128E">
        <w:rPr>
          <w:rFonts w:ascii="Times New Roman" w:hAnsi="Times New Roman"/>
          <w:noProof/>
        </w:rPr>
        <w:t>, ii16-ii29.</w:t>
      </w:r>
    </w:p>
    <w:p w14:paraId="1977811B"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Ministry of Health and Social Welfare. (2009). </w:t>
      </w:r>
      <w:r w:rsidRPr="0010128E">
        <w:rPr>
          <w:rFonts w:ascii="Times New Roman" w:hAnsi="Times New Roman"/>
          <w:i/>
          <w:iCs/>
          <w:noProof/>
        </w:rPr>
        <w:t>Health Sector Strategic Plan III 2009-2015.</w:t>
      </w:r>
      <w:r w:rsidRPr="0010128E">
        <w:rPr>
          <w:rFonts w:ascii="Times New Roman" w:hAnsi="Times New Roman"/>
          <w:noProof/>
        </w:rPr>
        <w:t xml:space="preserve"> Dar es Salaam: The United Republic of Tanzania.</w:t>
      </w:r>
    </w:p>
    <w:p w14:paraId="18A0A73A"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Ministry of Health and Social Welfare. (2009). </w:t>
      </w:r>
      <w:r w:rsidRPr="0010128E">
        <w:rPr>
          <w:rFonts w:ascii="Times New Roman" w:hAnsi="Times New Roman"/>
          <w:i/>
          <w:iCs/>
          <w:noProof/>
        </w:rPr>
        <w:t>Neglected tropical diseases country plan, 2009-2014.</w:t>
      </w:r>
      <w:r w:rsidRPr="0010128E">
        <w:rPr>
          <w:rFonts w:ascii="Times New Roman" w:hAnsi="Times New Roman"/>
          <w:noProof/>
        </w:rPr>
        <w:t xml:space="preserve"> Dar es Salaam: The United Republic of Tanzania.</w:t>
      </w:r>
    </w:p>
    <w:p w14:paraId="663C1B4F"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Ministry of Health and Social Welfare. (2008). </w:t>
      </w:r>
      <w:r w:rsidRPr="0010128E">
        <w:rPr>
          <w:rFonts w:ascii="Times New Roman" w:hAnsi="Times New Roman"/>
          <w:i/>
          <w:iCs/>
          <w:noProof/>
        </w:rPr>
        <w:t>The national road map strategic plan to accelerate reduction of maternal, newborn and child deaths in Tanzania, 2008-2015.</w:t>
      </w:r>
      <w:r w:rsidRPr="0010128E">
        <w:rPr>
          <w:rFonts w:ascii="Times New Roman" w:hAnsi="Times New Roman"/>
          <w:noProof/>
        </w:rPr>
        <w:t xml:space="preserve"> Dar es Salaam: United Republic of Tanzania.</w:t>
      </w:r>
    </w:p>
    <w:p w14:paraId="2AF08B3B"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Mtei, G., Makawia, S., Ally, M., Kuwawenaruwa, A., Meheus, F., &amp; Borghi, J. (2012). Who pays and who benefits from health care? An assessment of equity in health care financing and benefit distribution in Tanzania.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27</w:t>
      </w:r>
      <w:r w:rsidRPr="0010128E">
        <w:rPr>
          <w:rFonts w:ascii="Times New Roman" w:hAnsi="Times New Roman"/>
          <w:noProof/>
        </w:rPr>
        <w:t>, i23-i34.</w:t>
      </w:r>
    </w:p>
    <w:p w14:paraId="691A0EA1"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Mtei, G., Mulligan, J., Ally, M., Palmer, N., &amp; Mills, A. (2007). </w:t>
      </w:r>
      <w:r w:rsidRPr="0010128E">
        <w:rPr>
          <w:rFonts w:ascii="Times New Roman" w:hAnsi="Times New Roman"/>
          <w:i/>
          <w:iCs/>
          <w:noProof/>
        </w:rPr>
        <w:t>An assessment of the health financing system in Tanzania.</w:t>
      </w:r>
      <w:r w:rsidRPr="0010128E">
        <w:rPr>
          <w:rFonts w:ascii="Times New Roman" w:hAnsi="Times New Roman"/>
          <w:noProof/>
        </w:rPr>
        <w:t xml:space="preserve"> Cape Town: Report on SHIELD Work Package 1.</w:t>
      </w:r>
    </w:p>
    <w:p w14:paraId="27B0192C"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Munishi, G. (1995). MSocial service provision in Tanzania. In </w:t>
      </w:r>
      <w:r w:rsidRPr="0010128E">
        <w:rPr>
          <w:rFonts w:ascii="Times New Roman" w:hAnsi="Times New Roman"/>
          <w:i/>
          <w:iCs/>
          <w:noProof/>
        </w:rPr>
        <w:t>Semboja J &amp; Therkildsen O Service Provision under Stress in East Africa</w:t>
      </w:r>
      <w:r w:rsidRPr="0010128E">
        <w:rPr>
          <w:rFonts w:ascii="Times New Roman" w:hAnsi="Times New Roman"/>
          <w:noProof/>
        </w:rPr>
        <w:t xml:space="preserve"> (pp. 141-152). Dar Es Salaam: Mkuki na Nyota Publishers.</w:t>
      </w:r>
    </w:p>
    <w:p w14:paraId="29C268EE"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NA. (2011). </w:t>
      </w:r>
      <w:r w:rsidRPr="0010128E">
        <w:rPr>
          <w:rFonts w:ascii="Times New Roman" w:hAnsi="Times New Roman"/>
          <w:i/>
          <w:iCs/>
          <w:noProof/>
        </w:rPr>
        <w:t>The Third WRATZ Annual General Meeting.</w:t>
      </w:r>
      <w:r w:rsidRPr="0010128E">
        <w:rPr>
          <w:rFonts w:ascii="Times New Roman" w:hAnsi="Times New Roman"/>
          <w:noProof/>
        </w:rPr>
        <w:t xml:space="preserve"> Songea Ruvuma: Report at Heritage Cottage.</w:t>
      </w:r>
    </w:p>
    <w:p w14:paraId="224031ED"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National Bureau of Statistics (NBC) [Tanzania] and ICF Macro. (2011). </w:t>
      </w:r>
      <w:r w:rsidRPr="0010128E">
        <w:rPr>
          <w:rFonts w:ascii="Times New Roman" w:hAnsi="Times New Roman"/>
          <w:i/>
          <w:iCs/>
          <w:noProof/>
        </w:rPr>
        <w:t>Tanzania demographic and health survey 2010.</w:t>
      </w:r>
      <w:r w:rsidRPr="0010128E">
        <w:rPr>
          <w:rFonts w:ascii="Times New Roman" w:hAnsi="Times New Roman"/>
          <w:noProof/>
        </w:rPr>
        <w:t xml:space="preserve"> Dar es Salaam: NBS and ICF Macro.</w:t>
      </w:r>
    </w:p>
    <w:p w14:paraId="13C8252C"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National Bureau of Statistics (NBS) [Tanzania] and Macro International Inc. (2007). </w:t>
      </w:r>
      <w:r w:rsidRPr="0010128E">
        <w:rPr>
          <w:rFonts w:ascii="Times New Roman" w:hAnsi="Times New Roman"/>
          <w:i/>
          <w:iCs/>
          <w:noProof/>
        </w:rPr>
        <w:t>Tanzania service provision assessment survey 2006.</w:t>
      </w:r>
      <w:r w:rsidRPr="0010128E">
        <w:rPr>
          <w:rFonts w:ascii="Times New Roman" w:hAnsi="Times New Roman"/>
          <w:noProof/>
        </w:rPr>
        <w:t xml:space="preserve"> Dar es Salaam: National Bureau of Statistics and Macro International.</w:t>
      </w:r>
    </w:p>
    <w:p w14:paraId="0046B4D2"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National Institute for Medical Research. (2008). </w:t>
      </w:r>
      <w:r w:rsidRPr="0010128E">
        <w:rPr>
          <w:rFonts w:ascii="Times New Roman" w:hAnsi="Times New Roman"/>
          <w:i/>
          <w:iCs/>
          <w:noProof/>
        </w:rPr>
        <w:t>Evidence-informed policy making in the United Republic of Tanzania: Setting REACH-policy initiative priorities for 2008-2010.</w:t>
      </w:r>
      <w:r w:rsidRPr="0010128E">
        <w:rPr>
          <w:rFonts w:ascii="Times New Roman" w:hAnsi="Times New Roman"/>
          <w:noProof/>
        </w:rPr>
        <w:t xml:space="preserve"> Dar es Salaam.</w:t>
      </w:r>
    </w:p>
    <w:p w14:paraId="339399BB"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Olsen, B., Hinderaker, S., Lie, R., Gasheka, P., &amp; Kvale, G. (2008). Risk factors for maternal death in the highlands of rural Northern Tanzania: A case-control study. </w:t>
      </w:r>
      <w:r w:rsidRPr="0010128E">
        <w:rPr>
          <w:rFonts w:ascii="Times New Roman" w:hAnsi="Times New Roman"/>
          <w:i/>
          <w:iCs/>
          <w:noProof/>
        </w:rPr>
        <w:t>BMC Public Health</w:t>
      </w:r>
      <w:r w:rsidRPr="0010128E">
        <w:rPr>
          <w:rFonts w:ascii="Times New Roman" w:hAnsi="Times New Roman"/>
          <w:noProof/>
        </w:rPr>
        <w:t xml:space="preserve"> </w:t>
      </w:r>
      <w:r w:rsidRPr="0010128E">
        <w:rPr>
          <w:rFonts w:ascii="Times New Roman" w:hAnsi="Times New Roman"/>
          <w:i/>
          <w:iCs/>
          <w:noProof/>
        </w:rPr>
        <w:t>, 8</w:t>
      </w:r>
      <w:r w:rsidRPr="0010128E">
        <w:rPr>
          <w:rFonts w:ascii="Times New Roman" w:hAnsi="Times New Roman"/>
          <w:noProof/>
        </w:rPr>
        <w:t xml:space="preserve"> (52).</w:t>
      </w:r>
    </w:p>
    <w:p w14:paraId="407D72AD"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Olsen, B., Olsen, O., &amp; Kvale, G. (2009). Achieving progress in maternal and neonatal health through integrated and comprehensive healthcare services--experiences from a programme in Northern Tanzania. </w:t>
      </w:r>
      <w:r w:rsidRPr="0010128E">
        <w:rPr>
          <w:rFonts w:ascii="Times New Roman" w:hAnsi="Times New Roman"/>
          <w:i/>
          <w:iCs/>
          <w:noProof/>
        </w:rPr>
        <w:t>International Journal for Equity in Health</w:t>
      </w:r>
      <w:r w:rsidRPr="0010128E">
        <w:rPr>
          <w:rFonts w:ascii="Times New Roman" w:hAnsi="Times New Roman"/>
          <w:noProof/>
        </w:rPr>
        <w:t xml:space="preserve"> </w:t>
      </w:r>
      <w:r w:rsidRPr="0010128E">
        <w:rPr>
          <w:rFonts w:ascii="Times New Roman" w:hAnsi="Times New Roman"/>
          <w:i/>
          <w:iCs/>
          <w:noProof/>
        </w:rPr>
        <w:t>, 8</w:t>
      </w:r>
      <w:r w:rsidRPr="0010128E">
        <w:rPr>
          <w:rFonts w:ascii="Times New Roman" w:hAnsi="Times New Roman"/>
          <w:noProof/>
        </w:rPr>
        <w:t xml:space="preserve"> (27).</w:t>
      </w:r>
    </w:p>
    <w:p w14:paraId="27A5339C"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Olsen, O. (2010). The impact of global health initiatives on trust in health care provision under extreme resource scarcity: Presenting an agenda for debate from a case study of emergency obstetric care in Northern Tanzania. </w:t>
      </w:r>
      <w:r w:rsidRPr="0010128E">
        <w:rPr>
          <w:rFonts w:ascii="Times New Roman" w:hAnsi="Times New Roman"/>
          <w:i/>
          <w:iCs/>
          <w:noProof/>
        </w:rPr>
        <w:t>Health Research Policy and Systems</w:t>
      </w:r>
      <w:r w:rsidRPr="0010128E">
        <w:rPr>
          <w:rFonts w:ascii="Times New Roman" w:hAnsi="Times New Roman"/>
          <w:noProof/>
        </w:rPr>
        <w:t xml:space="preserve"> </w:t>
      </w:r>
      <w:r w:rsidRPr="0010128E">
        <w:rPr>
          <w:rFonts w:ascii="Times New Roman" w:hAnsi="Times New Roman"/>
          <w:i/>
          <w:iCs/>
          <w:noProof/>
        </w:rPr>
        <w:t>, 8</w:t>
      </w:r>
      <w:r w:rsidRPr="0010128E">
        <w:rPr>
          <w:rFonts w:ascii="Times New Roman" w:hAnsi="Times New Roman"/>
          <w:noProof/>
        </w:rPr>
        <w:t xml:space="preserve"> (14).</w:t>
      </w:r>
    </w:p>
    <w:p w14:paraId="07B9BC92"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Olsen, O., Ndeki, S., &amp; Norheim, O. (2005). Availability, distribution and use of emergency obstetric care in Northern Tanzania.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20</w:t>
      </w:r>
      <w:r w:rsidRPr="0010128E">
        <w:rPr>
          <w:rFonts w:ascii="Times New Roman" w:hAnsi="Times New Roman"/>
          <w:noProof/>
        </w:rPr>
        <w:t xml:space="preserve"> (3), 167-175.</w:t>
      </w:r>
    </w:p>
    <w:p w14:paraId="7B83D8CB"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President's Office Public Service Management. (2011). </w:t>
      </w:r>
      <w:r w:rsidRPr="0010128E">
        <w:rPr>
          <w:rFonts w:ascii="Times New Roman" w:hAnsi="Times New Roman"/>
          <w:i/>
          <w:iCs/>
          <w:noProof/>
        </w:rPr>
        <w:t>The functions and orgnisation structure of the Ministry of Health and Social Welfare.</w:t>
      </w:r>
      <w:r w:rsidRPr="0010128E">
        <w:rPr>
          <w:rFonts w:ascii="Times New Roman" w:hAnsi="Times New Roman"/>
          <w:noProof/>
        </w:rPr>
        <w:t xml:space="preserve"> Dar es Salaam: Ministry of Health and Social Welfare.</w:t>
      </w:r>
    </w:p>
    <w:p w14:paraId="0C20E6F3"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Prime Minister's Office. (2009). </w:t>
      </w:r>
      <w:r w:rsidRPr="0010128E">
        <w:rPr>
          <w:rFonts w:ascii="Times New Roman" w:hAnsi="Times New Roman"/>
          <w:i/>
          <w:iCs/>
          <w:noProof/>
        </w:rPr>
        <w:t>National public private partnership (PPP) policy.</w:t>
      </w:r>
      <w:r w:rsidRPr="0010128E">
        <w:rPr>
          <w:rFonts w:ascii="Times New Roman" w:hAnsi="Times New Roman"/>
          <w:noProof/>
        </w:rPr>
        <w:t xml:space="preserve"> Dar es Salaam: United Republic of Tanzania.</w:t>
      </w:r>
    </w:p>
    <w:p w14:paraId="6548ADD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Ridde, V., &amp; Morestin, F. (2010). A scoping review of the literature on the abolition of user fees in health care services in Africa. </w:t>
      </w:r>
      <w:r w:rsidRPr="0010128E">
        <w:rPr>
          <w:rFonts w:ascii="Times New Roman" w:hAnsi="Times New Roman"/>
          <w:i/>
          <w:iCs/>
          <w:noProof/>
        </w:rPr>
        <w:t>Health Policy and Planning</w:t>
      </w:r>
      <w:r w:rsidRPr="0010128E">
        <w:rPr>
          <w:rFonts w:ascii="Times New Roman" w:hAnsi="Times New Roman"/>
          <w:noProof/>
        </w:rPr>
        <w:t xml:space="preserve"> </w:t>
      </w:r>
      <w:r w:rsidRPr="0010128E">
        <w:rPr>
          <w:rFonts w:ascii="Times New Roman" w:hAnsi="Times New Roman"/>
          <w:i/>
          <w:iCs/>
          <w:noProof/>
        </w:rPr>
        <w:t>, 26</w:t>
      </w:r>
      <w:r w:rsidRPr="0010128E">
        <w:rPr>
          <w:rFonts w:ascii="Times New Roman" w:hAnsi="Times New Roman"/>
          <w:noProof/>
        </w:rPr>
        <w:t>, 1-11.</w:t>
      </w:r>
    </w:p>
    <w:p w14:paraId="3042592A"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Robinson, D., &amp; Mutakyahwa, R. (2004). </w:t>
      </w:r>
      <w:r w:rsidRPr="0010128E">
        <w:rPr>
          <w:rFonts w:ascii="Times New Roman" w:hAnsi="Times New Roman"/>
          <w:i/>
          <w:iCs/>
          <w:noProof/>
        </w:rPr>
        <w:t>An introduction to the non-profit sector in Tanzania.</w:t>
      </w:r>
      <w:r w:rsidRPr="0010128E">
        <w:rPr>
          <w:rFonts w:ascii="Times New Roman" w:hAnsi="Times New Roman"/>
          <w:noProof/>
        </w:rPr>
        <w:t xml:space="preserve"> London: Allavida.</w:t>
      </w:r>
    </w:p>
    <w:p w14:paraId="7C637958"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Sabatier, P., &amp; C.M., W. (2007). The Advocacy Coalition Framework. In P. Sabatier, </w:t>
      </w:r>
      <w:r w:rsidRPr="0010128E">
        <w:rPr>
          <w:rFonts w:ascii="Times New Roman" w:hAnsi="Times New Roman"/>
          <w:i/>
          <w:iCs/>
          <w:noProof/>
        </w:rPr>
        <w:t>Theories of the Policy Process</w:t>
      </w:r>
      <w:r w:rsidRPr="0010128E">
        <w:rPr>
          <w:rFonts w:ascii="Times New Roman" w:hAnsi="Times New Roman"/>
          <w:noProof/>
        </w:rPr>
        <w:t xml:space="preserve"> (pp. 189-220). Boulder: Westview Press.</w:t>
      </w:r>
    </w:p>
    <w:p w14:paraId="0F33240D"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Semali, I. (2003). </w:t>
      </w:r>
      <w:r w:rsidRPr="0010128E">
        <w:rPr>
          <w:rFonts w:ascii="Times New Roman" w:hAnsi="Times New Roman"/>
          <w:i/>
          <w:iCs/>
          <w:noProof/>
        </w:rPr>
        <w:t>Understanding stakeholders’ roles in health sector reform process in Tanzania: the case of decentralizing the immunization program.</w:t>
      </w:r>
      <w:r w:rsidRPr="0010128E">
        <w:rPr>
          <w:rFonts w:ascii="Times New Roman" w:hAnsi="Times New Roman"/>
          <w:noProof/>
        </w:rPr>
        <w:t xml:space="preserve"> University of Basel, Moshi.</w:t>
      </w:r>
    </w:p>
    <w:p w14:paraId="37FABC9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Snyder, K. (2005). </w:t>
      </w:r>
      <w:r w:rsidRPr="0010128E">
        <w:rPr>
          <w:rFonts w:ascii="Times New Roman" w:hAnsi="Times New Roman"/>
          <w:i/>
          <w:iCs/>
          <w:noProof/>
        </w:rPr>
        <w:t>The Iraqw of Tanzania: Negotiating rural development.</w:t>
      </w:r>
      <w:r w:rsidRPr="0010128E">
        <w:rPr>
          <w:rFonts w:ascii="Times New Roman" w:hAnsi="Times New Roman"/>
          <w:noProof/>
        </w:rPr>
        <w:t xml:space="preserve"> Westview Press.</w:t>
      </w:r>
    </w:p>
    <w:p w14:paraId="29220410"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Songstad, N., Moland, K., Massay, D., &amp; Blystad, A. (2012). Why do health workers in rural Tanzania prefer public sector employment? </w:t>
      </w:r>
      <w:r w:rsidRPr="0010128E">
        <w:rPr>
          <w:rFonts w:ascii="Times New Roman" w:hAnsi="Times New Roman"/>
          <w:i/>
          <w:iCs/>
          <w:noProof/>
        </w:rPr>
        <w:t>BMC Health Services Research</w:t>
      </w:r>
      <w:r w:rsidRPr="0010128E">
        <w:rPr>
          <w:rFonts w:ascii="Times New Roman" w:hAnsi="Times New Roman"/>
          <w:noProof/>
        </w:rPr>
        <w:t xml:space="preserve"> </w:t>
      </w:r>
      <w:r w:rsidRPr="0010128E">
        <w:rPr>
          <w:rFonts w:ascii="Times New Roman" w:hAnsi="Times New Roman"/>
          <w:i/>
          <w:iCs/>
          <w:noProof/>
        </w:rPr>
        <w:t>, 12</w:t>
      </w:r>
      <w:r w:rsidRPr="0010128E">
        <w:rPr>
          <w:rFonts w:ascii="Times New Roman" w:hAnsi="Times New Roman"/>
          <w:noProof/>
        </w:rPr>
        <w:t xml:space="preserve"> (92).</w:t>
      </w:r>
    </w:p>
    <w:p w14:paraId="1902A26C"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Songstad, N., Rekdal, O., Massay, D., &amp; Blystad, A. (2011). Perceived unfairness in working conditions: The case of public health services in Tanzania. </w:t>
      </w:r>
      <w:r w:rsidRPr="0010128E">
        <w:rPr>
          <w:rFonts w:ascii="Times New Roman" w:hAnsi="Times New Roman"/>
          <w:i/>
          <w:iCs/>
          <w:noProof/>
        </w:rPr>
        <w:t>BMC Health Services Research</w:t>
      </w:r>
      <w:r w:rsidRPr="0010128E">
        <w:rPr>
          <w:rFonts w:ascii="Times New Roman" w:hAnsi="Times New Roman"/>
          <w:noProof/>
        </w:rPr>
        <w:t xml:space="preserve"> </w:t>
      </w:r>
      <w:r w:rsidRPr="0010128E">
        <w:rPr>
          <w:rFonts w:ascii="Times New Roman" w:hAnsi="Times New Roman"/>
          <w:i/>
          <w:iCs/>
          <w:noProof/>
        </w:rPr>
        <w:t>, 11</w:t>
      </w:r>
      <w:r w:rsidRPr="0010128E">
        <w:rPr>
          <w:rFonts w:ascii="Times New Roman" w:hAnsi="Times New Roman"/>
          <w:noProof/>
        </w:rPr>
        <w:t xml:space="preserve"> (34).</w:t>
      </w:r>
    </w:p>
    <w:p w14:paraId="151DBD16"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Tanzania Gender Networking Program (TGNP) and Macro International Inc. (2007). </w:t>
      </w:r>
      <w:r w:rsidRPr="0010128E">
        <w:rPr>
          <w:rFonts w:ascii="Times New Roman" w:hAnsi="Times New Roman"/>
          <w:i/>
          <w:iCs/>
          <w:noProof/>
        </w:rPr>
        <w:t>Women's health in Tanzania.</w:t>
      </w:r>
      <w:r w:rsidRPr="0010128E">
        <w:rPr>
          <w:rFonts w:ascii="Times New Roman" w:hAnsi="Times New Roman"/>
          <w:noProof/>
        </w:rPr>
        <w:t xml:space="preserve"> Dar es Salaam: TGNP and Macro International.</w:t>
      </w:r>
    </w:p>
    <w:p w14:paraId="30EBC325"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The United Republic of Tanzania. (2011, July). </w:t>
      </w:r>
      <w:r w:rsidRPr="0010128E">
        <w:rPr>
          <w:rFonts w:ascii="Times New Roman" w:hAnsi="Times New Roman"/>
          <w:i/>
          <w:iCs/>
          <w:noProof/>
        </w:rPr>
        <w:t xml:space="preserve">Health Facilities </w:t>
      </w:r>
      <w:r w:rsidRPr="0010128E">
        <w:rPr>
          <w:rFonts w:ascii="Times New Roman" w:hAnsi="Times New Roman"/>
          <w:noProof/>
        </w:rPr>
        <w:t>. Retrieved 05 01, 2012, from Ministry of Health and Social Welfare: http://www.tanzania.go.tz/ministriesf.html</w:t>
      </w:r>
    </w:p>
    <w:p w14:paraId="5FAA2739"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United States Agency for International Development. (2007). </w:t>
      </w:r>
      <w:r w:rsidRPr="0010128E">
        <w:rPr>
          <w:rFonts w:ascii="Times New Roman" w:hAnsi="Times New Roman"/>
          <w:i/>
          <w:iCs/>
          <w:noProof/>
        </w:rPr>
        <w:t>Health Systems 20/20 Country Brief: Tanzania.</w:t>
      </w:r>
      <w:r w:rsidRPr="0010128E">
        <w:rPr>
          <w:rFonts w:ascii="Times New Roman" w:hAnsi="Times New Roman"/>
          <w:noProof/>
        </w:rPr>
        <w:t xml:space="preserve"> </w:t>
      </w:r>
    </w:p>
    <w:p w14:paraId="1DAFAC2C"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United States Agency for International Development. (2009). </w:t>
      </w:r>
      <w:r w:rsidRPr="0010128E">
        <w:rPr>
          <w:rFonts w:ascii="Times New Roman" w:hAnsi="Times New Roman"/>
          <w:i/>
          <w:iCs/>
          <w:noProof/>
        </w:rPr>
        <w:t>The ACQUIRE Tanzania project: Annual report.</w:t>
      </w:r>
      <w:r w:rsidRPr="0010128E">
        <w:rPr>
          <w:rFonts w:ascii="Times New Roman" w:hAnsi="Times New Roman"/>
          <w:noProof/>
        </w:rPr>
        <w:t xml:space="preserve"> Office of Population and Health. Tanzania: USAID.</w:t>
      </w:r>
    </w:p>
    <w:p w14:paraId="776CCE20"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USAID. (2012). </w:t>
      </w:r>
      <w:r w:rsidRPr="0010128E">
        <w:rPr>
          <w:rFonts w:ascii="Times New Roman" w:hAnsi="Times New Roman"/>
          <w:i/>
          <w:iCs/>
          <w:noProof/>
        </w:rPr>
        <w:t>Health Systems 20/20 Data Analysis</w:t>
      </w:r>
      <w:r w:rsidRPr="0010128E">
        <w:rPr>
          <w:rFonts w:ascii="Times New Roman" w:hAnsi="Times New Roman"/>
          <w:noProof/>
        </w:rPr>
        <w:t>. Retrieved May 2012, 2012, from http://healthsystems2020.healthsystemsdatabase.org/datasets/timeseriesdataset.aspx</w:t>
      </w:r>
    </w:p>
    <w:p w14:paraId="5F0416DD"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World Bank. (2009). </w:t>
      </w:r>
      <w:r w:rsidRPr="0010128E">
        <w:rPr>
          <w:rFonts w:ascii="Times New Roman" w:hAnsi="Times New Roman"/>
          <w:i/>
          <w:iCs/>
          <w:noProof/>
        </w:rPr>
        <w:t>World Bank development indicators.</w:t>
      </w:r>
      <w:r w:rsidRPr="0010128E">
        <w:rPr>
          <w:rFonts w:ascii="Times New Roman" w:hAnsi="Times New Roman"/>
          <w:noProof/>
        </w:rPr>
        <w:t xml:space="preserve"> </w:t>
      </w:r>
    </w:p>
    <w:p w14:paraId="3AEE12D3"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World Health Organization. (1978). </w:t>
      </w:r>
      <w:r w:rsidRPr="0010128E">
        <w:rPr>
          <w:rFonts w:ascii="Times New Roman" w:hAnsi="Times New Roman"/>
          <w:i/>
          <w:iCs/>
          <w:noProof/>
        </w:rPr>
        <w:t>Alma-Alta Declaration Primary Health Care.</w:t>
      </w:r>
      <w:r w:rsidRPr="0010128E">
        <w:rPr>
          <w:rFonts w:ascii="Times New Roman" w:hAnsi="Times New Roman"/>
          <w:noProof/>
        </w:rPr>
        <w:t xml:space="preserve"> Geneva.</w:t>
      </w:r>
    </w:p>
    <w:p w14:paraId="5A54E9C4"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World Health Organization. (2008). </w:t>
      </w:r>
      <w:r w:rsidRPr="0010128E">
        <w:rPr>
          <w:rFonts w:ascii="Times New Roman" w:hAnsi="Times New Roman"/>
          <w:i/>
          <w:iCs/>
          <w:noProof/>
        </w:rPr>
        <w:t>Discussion Paper.</w:t>
      </w:r>
      <w:r w:rsidRPr="0010128E">
        <w:rPr>
          <w:rFonts w:ascii="Times New Roman" w:hAnsi="Times New Roman"/>
          <w:noProof/>
        </w:rPr>
        <w:t xml:space="preserve"> International Conference on Primary Health Care and Health Systems in Africa: Towards the Achievement of the Health Millennium Development Goals. Burkina Faso: World Health Organization.</w:t>
      </w:r>
    </w:p>
    <w:p w14:paraId="0698D820"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World Health Organization. (2008). </w:t>
      </w:r>
      <w:r w:rsidRPr="0010128E">
        <w:rPr>
          <w:rFonts w:ascii="Times New Roman" w:hAnsi="Times New Roman"/>
          <w:i/>
          <w:iCs/>
          <w:noProof/>
        </w:rPr>
        <w:t>Summaries of Country Experiences on Primary Health Care Revitalization.</w:t>
      </w:r>
      <w:r w:rsidRPr="0010128E">
        <w:rPr>
          <w:rFonts w:ascii="Times New Roman" w:hAnsi="Times New Roman"/>
          <w:noProof/>
        </w:rPr>
        <w:t xml:space="preserve"> International Conference on Primary Health Care and Health Systems in Africa: Towards the Achievement of the Health Millennium Development Goals. Burkina Faso: World Health Organization.</w:t>
      </w:r>
    </w:p>
    <w:p w14:paraId="30A807E3" w14:textId="77777777" w:rsidR="00AE4ABF" w:rsidRPr="0010128E" w:rsidRDefault="00AE4ABF" w:rsidP="00AE4ABF">
      <w:pPr>
        <w:pStyle w:val="Bibliography"/>
        <w:spacing w:after="200"/>
        <w:rPr>
          <w:rFonts w:ascii="Times New Roman" w:hAnsi="Times New Roman"/>
          <w:noProof/>
        </w:rPr>
      </w:pPr>
      <w:r w:rsidRPr="0010128E">
        <w:rPr>
          <w:rFonts w:ascii="Times New Roman" w:hAnsi="Times New Roman"/>
          <w:noProof/>
        </w:rPr>
        <w:t xml:space="preserve">Young, T. (1986). Socialist development and primary health care: the case of Tanzania. </w:t>
      </w:r>
      <w:r w:rsidRPr="0010128E">
        <w:rPr>
          <w:rFonts w:ascii="Times New Roman" w:hAnsi="Times New Roman"/>
          <w:i/>
          <w:iCs/>
          <w:noProof/>
        </w:rPr>
        <w:t>Human Organization , 45</w:t>
      </w:r>
      <w:r w:rsidRPr="0010128E">
        <w:rPr>
          <w:rFonts w:ascii="Times New Roman" w:hAnsi="Times New Roman"/>
          <w:noProof/>
        </w:rPr>
        <w:t xml:space="preserve"> (2), 128-134.</w:t>
      </w:r>
    </w:p>
    <w:p w14:paraId="39435526" w14:textId="77777777" w:rsidR="00D40D4D" w:rsidRPr="0010128E" w:rsidRDefault="00D40D4D" w:rsidP="00AE4ABF">
      <w:pPr>
        <w:spacing w:after="200"/>
        <w:rPr>
          <w:rFonts w:ascii="Times New Roman" w:hAnsi="Times New Roman"/>
          <w:sz w:val="24"/>
        </w:rPr>
      </w:pPr>
    </w:p>
    <w:p w14:paraId="672669CB" w14:textId="77777777" w:rsidR="00F3743B" w:rsidRPr="0010128E" w:rsidRDefault="00F3743B" w:rsidP="00F3743B">
      <w:pPr>
        <w:ind w:firstLine="720"/>
        <w:rPr>
          <w:rFonts w:ascii="Times New Roman" w:hAnsi="Times New Roman"/>
          <w:sz w:val="24"/>
        </w:rPr>
      </w:pPr>
    </w:p>
    <w:p w14:paraId="47B58C87" w14:textId="77777777" w:rsidR="00480062" w:rsidRPr="0010128E" w:rsidRDefault="00480062" w:rsidP="00B3545A">
      <w:pPr>
        <w:rPr>
          <w:rFonts w:ascii="Times New Roman" w:hAnsi="Times New Roman"/>
          <w:sz w:val="24"/>
        </w:rPr>
      </w:pPr>
    </w:p>
    <w:p w14:paraId="1ADCF395" w14:textId="77777777" w:rsidR="004A4B6E" w:rsidRPr="0010128E" w:rsidRDefault="004A4B6E" w:rsidP="00B3545A">
      <w:pPr>
        <w:rPr>
          <w:rFonts w:ascii="Times New Roman" w:hAnsi="Times New Roman"/>
          <w:sz w:val="24"/>
        </w:rPr>
      </w:pPr>
    </w:p>
    <w:p w14:paraId="29795B1F" w14:textId="77777777" w:rsidR="004A4B6E" w:rsidRPr="0010128E" w:rsidRDefault="004A4B6E" w:rsidP="00B3545A">
      <w:pPr>
        <w:rPr>
          <w:rFonts w:ascii="Times New Roman" w:hAnsi="Times New Roman"/>
          <w:sz w:val="24"/>
        </w:rPr>
      </w:pPr>
    </w:p>
    <w:p w14:paraId="2FA96C62" w14:textId="77777777" w:rsidR="00383B32" w:rsidRPr="0010128E" w:rsidRDefault="00383B32" w:rsidP="00DB0993">
      <w:pPr>
        <w:pStyle w:val="Heading1"/>
        <w:rPr>
          <w:rFonts w:ascii="Times New Roman" w:hAnsi="Times New Roman"/>
        </w:rPr>
        <w:sectPr w:rsidR="00383B32" w:rsidRPr="0010128E" w:rsidSect="004B7721">
          <w:pgSz w:w="12240" w:h="15840"/>
          <w:pgMar w:top="1440" w:right="1440" w:bottom="1440" w:left="1440" w:header="720" w:footer="720" w:gutter="0"/>
          <w:cols w:space="720"/>
          <w:docGrid w:linePitch="360"/>
        </w:sectPr>
      </w:pPr>
    </w:p>
    <w:p w14:paraId="11AFC751" w14:textId="77777777" w:rsidR="004A4B6E" w:rsidRPr="0010128E" w:rsidRDefault="007E7FAF" w:rsidP="00DB0993">
      <w:pPr>
        <w:pStyle w:val="Heading1"/>
        <w:rPr>
          <w:rFonts w:ascii="Times New Roman" w:hAnsi="Times New Roman"/>
        </w:rPr>
      </w:pPr>
      <w:bookmarkStart w:id="24" w:name="_Toc206320791"/>
      <w:r w:rsidRPr="0010128E">
        <w:rPr>
          <w:rFonts w:ascii="Times New Roman" w:hAnsi="Times New Roman"/>
        </w:rPr>
        <w:t>Appendices</w:t>
      </w:r>
      <w:bookmarkEnd w:id="24"/>
    </w:p>
    <w:p w14:paraId="1F7E2E7E" w14:textId="31B83216" w:rsidR="00E77F35" w:rsidRPr="0010128E" w:rsidRDefault="00E77F35" w:rsidP="005D3E11">
      <w:pPr>
        <w:pStyle w:val="Heading2"/>
      </w:pPr>
      <w:bookmarkStart w:id="25" w:name="_Toc206320792"/>
      <w:r w:rsidRPr="0010128E">
        <w:t>Appendix 1</w:t>
      </w:r>
      <w:r w:rsidR="0010128E">
        <w:t>:</w:t>
      </w:r>
      <w:r w:rsidR="005D3E11" w:rsidRPr="0010128E">
        <w:t xml:space="preserve"> </w:t>
      </w:r>
      <w:r w:rsidRPr="0010128E">
        <w:t>Number of Health F</w:t>
      </w:r>
      <w:r w:rsidR="00A24340" w:rsidRPr="0010128E">
        <w:t xml:space="preserve">acilities by Type and Provider, </w:t>
      </w:r>
      <w:r w:rsidRPr="0010128E">
        <w:t>2006</w:t>
      </w:r>
      <w:bookmarkEnd w:id="25"/>
    </w:p>
    <w:p w14:paraId="0FC8DC57" w14:textId="77777777" w:rsidR="00A24340" w:rsidRPr="0010128E" w:rsidRDefault="00A24340" w:rsidP="00A24340">
      <w:pPr>
        <w:rPr>
          <w:rFonts w:ascii="Times New Roman" w:hAnsi="Times New Roman"/>
        </w:rPr>
      </w:pPr>
    </w:p>
    <w:p w14:paraId="46CA56DD" w14:textId="77777777" w:rsidR="00E77F35" w:rsidRPr="0010128E" w:rsidRDefault="0043243C" w:rsidP="00E77F35">
      <w:pPr>
        <w:spacing w:line="480" w:lineRule="auto"/>
        <w:rPr>
          <w:rFonts w:ascii="Times New Roman" w:hAnsi="Times New Roman"/>
          <w:sz w:val="24"/>
        </w:rPr>
      </w:pPr>
      <w:r w:rsidRPr="0010128E">
        <w:rPr>
          <w:rFonts w:ascii="Times New Roman" w:hAnsi="Times New Roman"/>
          <w:noProof/>
          <w:sz w:val="24"/>
        </w:rPr>
        <w:drawing>
          <wp:inline distT="0" distB="0" distL="0" distR="0" wp14:anchorId="4ECE8AF0" wp14:editId="64B508FB">
            <wp:extent cx="5579110" cy="4777740"/>
            <wp:effectExtent l="25400" t="25400" r="34290" b="2286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579110" cy="4777740"/>
                    </a:xfrm>
                    <a:prstGeom prst="rect">
                      <a:avLst/>
                    </a:prstGeom>
                    <a:noFill/>
                    <a:ln w="9525" cmpd="sng">
                      <a:solidFill>
                        <a:srgbClr val="000000"/>
                      </a:solidFill>
                      <a:miter lim="800000"/>
                      <a:headEnd/>
                      <a:tailEnd/>
                    </a:ln>
                    <a:effectLst/>
                  </pic:spPr>
                </pic:pic>
              </a:graphicData>
            </a:graphic>
          </wp:inline>
        </w:drawing>
      </w:r>
    </w:p>
    <w:p w14:paraId="5B7333E0" w14:textId="1153071C" w:rsidR="00E77F35" w:rsidRPr="0010128E" w:rsidRDefault="00A24340" w:rsidP="009C09E2">
      <w:pPr>
        <w:rPr>
          <w:rFonts w:ascii="Times New Roman" w:hAnsi="Times New Roman"/>
          <w:sz w:val="24"/>
        </w:rPr>
        <w:sectPr w:rsidR="00E77F35" w:rsidRPr="0010128E" w:rsidSect="00AA077E">
          <w:pgSz w:w="12240" w:h="15840"/>
          <w:pgMar w:top="1440" w:right="1440" w:bottom="1440" w:left="1440" w:header="720" w:footer="720" w:gutter="0"/>
          <w:cols w:space="720"/>
          <w:docGrid w:linePitch="360"/>
        </w:sectPr>
      </w:pPr>
      <w:bookmarkStart w:id="26" w:name="_Toc202579971"/>
      <w:r w:rsidRPr="0010128E">
        <w:rPr>
          <w:rFonts w:ascii="Times New Roman" w:hAnsi="Times New Roman"/>
          <w:sz w:val="24"/>
        </w:rPr>
        <w:t xml:space="preserve">Source: </w:t>
      </w:r>
      <w:r w:rsidR="005D3E11" w:rsidRPr="0010128E">
        <w:rPr>
          <w:rFonts w:ascii="Times New Roman" w:hAnsi="Times New Roman"/>
          <w:sz w:val="24"/>
        </w:rPr>
        <w:t>Adjei, et al., 2009</w:t>
      </w:r>
      <w:bookmarkEnd w:id="26"/>
    </w:p>
    <w:p w14:paraId="6D99FF2D" w14:textId="28E69A3F" w:rsidR="004A4B6E" w:rsidRPr="0010128E" w:rsidRDefault="004A4B6E" w:rsidP="005D3E11">
      <w:pPr>
        <w:pStyle w:val="Heading2"/>
      </w:pPr>
      <w:bookmarkStart w:id="27" w:name="_Toc206320793"/>
      <w:r w:rsidRPr="0010128E">
        <w:t xml:space="preserve">Appendix </w:t>
      </w:r>
      <w:r w:rsidR="00E77F35" w:rsidRPr="0010128E">
        <w:t>2</w:t>
      </w:r>
      <w:r w:rsidR="0010128E">
        <w:t>:</w:t>
      </w:r>
      <w:r w:rsidR="005D3E11" w:rsidRPr="0010128E">
        <w:t xml:space="preserve"> Timeline of PHC Policy</w:t>
      </w:r>
      <w:bookmarkEnd w:id="27"/>
    </w:p>
    <w:p w14:paraId="47DF4347" w14:textId="77777777" w:rsidR="00E77F35" w:rsidRPr="0010128E" w:rsidRDefault="00E77F35" w:rsidP="00E77F3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60"/>
        <w:gridCol w:w="4140"/>
        <w:gridCol w:w="270"/>
      </w:tblGrid>
      <w:tr w:rsidR="00CD59B4" w:rsidRPr="0010128E" w14:paraId="7ECF2353" w14:textId="77777777" w:rsidTr="00666367">
        <w:trPr>
          <w:trHeight w:val="300"/>
        </w:trPr>
        <w:tc>
          <w:tcPr>
            <w:tcW w:w="7938" w:type="dxa"/>
            <w:gridSpan w:val="3"/>
            <w:tcBorders>
              <w:bottom w:val="single" w:sz="4" w:space="0" w:color="auto"/>
            </w:tcBorders>
            <w:shd w:val="clear" w:color="auto" w:fill="000000"/>
            <w:noWrap/>
            <w:hideMark/>
          </w:tcPr>
          <w:p w14:paraId="5B24E437" w14:textId="77777777" w:rsidR="00CD59B4" w:rsidRPr="0010128E" w:rsidRDefault="00CD59B4" w:rsidP="00CD59B4">
            <w:pPr>
              <w:rPr>
                <w:rFonts w:ascii="Times New Roman" w:eastAsia="ＭＳ 明朝" w:hAnsi="Times New Roman"/>
                <w:sz w:val="24"/>
              </w:rPr>
            </w:pPr>
            <w:r w:rsidRPr="0010128E">
              <w:rPr>
                <w:rFonts w:ascii="Times New Roman" w:eastAsia="ＭＳ 明朝" w:hAnsi="Times New Roman"/>
                <w:sz w:val="24"/>
              </w:rPr>
              <w:t>Timeline of Primary Health Care Related Policy in Tanzania</w:t>
            </w:r>
          </w:p>
        </w:tc>
        <w:tc>
          <w:tcPr>
            <w:tcW w:w="270" w:type="dxa"/>
            <w:tcBorders>
              <w:bottom w:val="single" w:sz="4" w:space="0" w:color="auto"/>
            </w:tcBorders>
            <w:shd w:val="clear" w:color="auto" w:fill="000000"/>
          </w:tcPr>
          <w:p w14:paraId="315401A0" w14:textId="77777777" w:rsidR="00CD59B4" w:rsidRPr="0010128E" w:rsidRDefault="00CD59B4" w:rsidP="00CD59B4">
            <w:pPr>
              <w:rPr>
                <w:rFonts w:ascii="Times New Roman" w:eastAsia="ＭＳ 明朝" w:hAnsi="Times New Roman"/>
                <w:sz w:val="24"/>
              </w:rPr>
            </w:pPr>
          </w:p>
        </w:tc>
      </w:tr>
      <w:tr w:rsidR="0019401E" w:rsidRPr="0010128E" w14:paraId="10386C11" w14:textId="77777777" w:rsidTr="00666367">
        <w:trPr>
          <w:gridAfter w:val="1"/>
          <w:wAfter w:w="270" w:type="dxa"/>
          <w:trHeight w:val="300"/>
        </w:trPr>
        <w:tc>
          <w:tcPr>
            <w:tcW w:w="738" w:type="dxa"/>
            <w:shd w:val="clear" w:color="auto" w:fill="C0C0C0"/>
            <w:noWrap/>
            <w:vAlign w:val="center"/>
            <w:hideMark/>
          </w:tcPr>
          <w:p w14:paraId="6B8B1CF0" w14:textId="77777777" w:rsidR="0019401E" w:rsidRPr="0010128E" w:rsidRDefault="0019401E" w:rsidP="00CD59B4">
            <w:pPr>
              <w:rPr>
                <w:rFonts w:ascii="Times New Roman" w:eastAsia="ＭＳ 明朝" w:hAnsi="Times New Roman"/>
                <w:b/>
                <w:bCs/>
                <w:sz w:val="24"/>
              </w:rPr>
            </w:pPr>
            <w:r w:rsidRPr="0010128E">
              <w:rPr>
                <w:rFonts w:ascii="Times New Roman" w:eastAsia="ＭＳ 明朝" w:hAnsi="Times New Roman"/>
                <w:b/>
                <w:bCs/>
                <w:sz w:val="24"/>
              </w:rPr>
              <w:t>Year</w:t>
            </w:r>
          </w:p>
        </w:tc>
        <w:tc>
          <w:tcPr>
            <w:tcW w:w="3060" w:type="dxa"/>
            <w:shd w:val="clear" w:color="auto" w:fill="C0C0C0"/>
            <w:vAlign w:val="center"/>
            <w:hideMark/>
          </w:tcPr>
          <w:p w14:paraId="52E211B5" w14:textId="77777777" w:rsidR="0019401E" w:rsidRPr="0010128E" w:rsidRDefault="0019401E" w:rsidP="00CD59B4">
            <w:pPr>
              <w:rPr>
                <w:rFonts w:ascii="Times New Roman" w:eastAsia="ＭＳ 明朝" w:hAnsi="Times New Roman"/>
                <w:b/>
                <w:bCs/>
                <w:sz w:val="24"/>
              </w:rPr>
            </w:pPr>
            <w:r w:rsidRPr="0010128E">
              <w:rPr>
                <w:rFonts w:ascii="Times New Roman" w:eastAsia="ＭＳ 明朝" w:hAnsi="Times New Roman"/>
                <w:b/>
                <w:bCs/>
                <w:sz w:val="24"/>
              </w:rPr>
              <w:t>Policy or Program</w:t>
            </w:r>
          </w:p>
        </w:tc>
        <w:tc>
          <w:tcPr>
            <w:tcW w:w="4140" w:type="dxa"/>
            <w:shd w:val="clear" w:color="auto" w:fill="C0C0C0"/>
            <w:vAlign w:val="center"/>
            <w:hideMark/>
          </w:tcPr>
          <w:p w14:paraId="45CE2399" w14:textId="77777777" w:rsidR="0019401E" w:rsidRPr="0010128E" w:rsidRDefault="0019401E" w:rsidP="00CD59B4">
            <w:pPr>
              <w:rPr>
                <w:rFonts w:ascii="Times New Roman" w:eastAsia="ＭＳ 明朝" w:hAnsi="Times New Roman"/>
                <w:b/>
                <w:bCs/>
                <w:sz w:val="24"/>
              </w:rPr>
            </w:pPr>
            <w:r w:rsidRPr="0010128E">
              <w:rPr>
                <w:rFonts w:ascii="Times New Roman" w:eastAsia="ＭＳ 明朝" w:hAnsi="Times New Roman"/>
                <w:b/>
                <w:bCs/>
                <w:sz w:val="24"/>
              </w:rPr>
              <w:t>Description</w:t>
            </w:r>
          </w:p>
        </w:tc>
      </w:tr>
      <w:tr w:rsidR="0019401E" w:rsidRPr="0010128E" w14:paraId="64E2DB77" w14:textId="77777777" w:rsidTr="00666367">
        <w:trPr>
          <w:gridAfter w:val="1"/>
          <w:wAfter w:w="270" w:type="dxa"/>
          <w:trHeight w:val="300"/>
        </w:trPr>
        <w:tc>
          <w:tcPr>
            <w:tcW w:w="738" w:type="dxa"/>
            <w:noWrap/>
            <w:hideMark/>
          </w:tcPr>
          <w:p w14:paraId="5F968697"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1967</w:t>
            </w:r>
          </w:p>
        </w:tc>
        <w:tc>
          <w:tcPr>
            <w:tcW w:w="3060" w:type="dxa"/>
            <w:hideMark/>
          </w:tcPr>
          <w:p w14:paraId="2CB63476"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 xml:space="preserve">Arusha Declaration </w:t>
            </w:r>
          </w:p>
        </w:tc>
        <w:tc>
          <w:tcPr>
            <w:tcW w:w="4140" w:type="dxa"/>
            <w:hideMark/>
          </w:tcPr>
          <w:p w14:paraId="65075208"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Put PHC and rural health on the policy radar</w:t>
            </w:r>
          </w:p>
        </w:tc>
      </w:tr>
      <w:tr w:rsidR="0019401E" w:rsidRPr="0010128E" w14:paraId="02E179E2" w14:textId="77777777" w:rsidTr="00666367">
        <w:trPr>
          <w:gridAfter w:val="1"/>
          <w:wAfter w:w="270" w:type="dxa"/>
          <w:trHeight w:val="600"/>
        </w:trPr>
        <w:tc>
          <w:tcPr>
            <w:tcW w:w="738" w:type="dxa"/>
            <w:noWrap/>
            <w:hideMark/>
          </w:tcPr>
          <w:p w14:paraId="6E0A46E9"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1972</w:t>
            </w:r>
          </w:p>
        </w:tc>
        <w:tc>
          <w:tcPr>
            <w:tcW w:w="3060" w:type="dxa"/>
            <w:hideMark/>
          </w:tcPr>
          <w:p w14:paraId="1B4F3AF4"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Decentralization Act of 1972</w:t>
            </w:r>
          </w:p>
        </w:tc>
        <w:tc>
          <w:tcPr>
            <w:tcW w:w="4140" w:type="dxa"/>
            <w:hideMark/>
          </w:tcPr>
          <w:p w14:paraId="4995621B"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Shifted power towards Regions and Districts; more flexible to local needs, but also increased regional disparities</w:t>
            </w:r>
          </w:p>
        </w:tc>
      </w:tr>
      <w:tr w:rsidR="0019401E" w:rsidRPr="0010128E" w14:paraId="119B001C" w14:textId="77777777" w:rsidTr="00666367">
        <w:trPr>
          <w:gridAfter w:val="1"/>
          <w:wAfter w:w="270" w:type="dxa"/>
          <w:trHeight w:val="600"/>
        </w:trPr>
        <w:tc>
          <w:tcPr>
            <w:tcW w:w="738" w:type="dxa"/>
            <w:noWrap/>
            <w:hideMark/>
          </w:tcPr>
          <w:p w14:paraId="1F0D7EF0"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1977</w:t>
            </w:r>
          </w:p>
        </w:tc>
        <w:tc>
          <w:tcPr>
            <w:tcW w:w="3060" w:type="dxa"/>
            <w:hideMark/>
          </w:tcPr>
          <w:p w14:paraId="63CB7AA1"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Private Hospitals Regulation Act</w:t>
            </w:r>
          </w:p>
        </w:tc>
        <w:tc>
          <w:tcPr>
            <w:tcW w:w="4140" w:type="dxa"/>
            <w:hideMark/>
          </w:tcPr>
          <w:p w14:paraId="102C613C"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Private-for-profit providers could no longer operate in Tanzania</w:t>
            </w:r>
          </w:p>
        </w:tc>
      </w:tr>
      <w:tr w:rsidR="0019401E" w:rsidRPr="0010128E" w14:paraId="7AF750AB" w14:textId="77777777" w:rsidTr="00666367">
        <w:trPr>
          <w:gridAfter w:val="1"/>
          <w:wAfter w:w="270" w:type="dxa"/>
          <w:trHeight w:val="300"/>
        </w:trPr>
        <w:tc>
          <w:tcPr>
            <w:tcW w:w="738" w:type="dxa"/>
            <w:noWrap/>
            <w:hideMark/>
          </w:tcPr>
          <w:p w14:paraId="025FE653"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1978</w:t>
            </w:r>
          </w:p>
        </w:tc>
        <w:tc>
          <w:tcPr>
            <w:tcW w:w="3060" w:type="dxa"/>
            <w:hideMark/>
          </w:tcPr>
          <w:p w14:paraId="3413C1D0"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 xml:space="preserve">Alma Alta Declaration </w:t>
            </w:r>
          </w:p>
        </w:tc>
        <w:tc>
          <w:tcPr>
            <w:tcW w:w="4140" w:type="dxa"/>
            <w:hideMark/>
          </w:tcPr>
          <w:p w14:paraId="74FF233A"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International decree for Primary “Health Care for All”</w:t>
            </w:r>
          </w:p>
        </w:tc>
      </w:tr>
      <w:tr w:rsidR="0019401E" w:rsidRPr="0010128E" w14:paraId="1164E261" w14:textId="77777777" w:rsidTr="00666367">
        <w:trPr>
          <w:gridAfter w:val="1"/>
          <w:wAfter w:w="270" w:type="dxa"/>
          <w:trHeight w:val="900"/>
        </w:trPr>
        <w:tc>
          <w:tcPr>
            <w:tcW w:w="738" w:type="dxa"/>
            <w:noWrap/>
            <w:hideMark/>
          </w:tcPr>
          <w:p w14:paraId="7CDE9FD6"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1982</w:t>
            </w:r>
          </w:p>
        </w:tc>
        <w:tc>
          <w:tcPr>
            <w:tcW w:w="3060" w:type="dxa"/>
            <w:hideMark/>
          </w:tcPr>
          <w:p w14:paraId="03A6CE5B"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Local Government Authorities Act</w:t>
            </w:r>
          </w:p>
        </w:tc>
        <w:tc>
          <w:tcPr>
            <w:tcW w:w="4140" w:type="dxa"/>
            <w:hideMark/>
          </w:tcPr>
          <w:p w14:paraId="3147250B"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Transferred authority to lower levels of government, allowing for more participation in planning, implementation and evaluation</w:t>
            </w:r>
          </w:p>
        </w:tc>
      </w:tr>
      <w:tr w:rsidR="0019401E" w:rsidRPr="0010128E" w14:paraId="0720A932" w14:textId="77777777" w:rsidTr="00666367">
        <w:trPr>
          <w:gridAfter w:val="1"/>
          <w:wAfter w:w="270" w:type="dxa"/>
          <w:trHeight w:val="600"/>
        </w:trPr>
        <w:tc>
          <w:tcPr>
            <w:tcW w:w="738" w:type="dxa"/>
            <w:noWrap/>
            <w:hideMark/>
          </w:tcPr>
          <w:p w14:paraId="664D4C5F"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1990</w:t>
            </w:r>
          </w:p>
        </w:tc>
        <w:tc>
          <w:tcPr>
            <w:tcW w:w="3060" w:type="dxa"/>
            <w:hideMark/>
          </w:tcPr>
          <w:p w14:paraId="3E77CE00"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Health Policy</w:t>
            </w:r>
          </w:p>
        </w:tc>
        <w:tc>
          <w:tcPr>
            <w:tcW w:w="4140" w:type="dxa"/>
            <w:hideMark/>
          </w:tcPr>
          <w:p w14:paraId="1526A8A6"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Overarching framework and policy detail for Tanzanian health system</w:t>
            </w:r>
          </w:p>
        </w:tc>
      </w:tr>
      <w:tr w:rsidR="0019401E" w:rsidRPr="0010128E" w14:paraId="50178C07" w14:textId="77777777" w:rsidTr="00666367">
        <w:trPr>
          <w:gridAfter w:val="1"/>
          <w:wAfter w:w="270" w:type="dxa"/>
          <w:trHeight w:val="300"/>
        </w:trPr>
        <w:tc>
          <w:tcPr>
            <w:tcW w:w="738" w:type="dxa"/>
            <w:noWrap/>
            <w:hideMark/>
          </w:tcPr>
          <w:p w14:paraId="0B07A22F"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1991</w:t>
            </w:r>
          </w:p>
        </w:tc>
        <w:tc>
          <w:tcPr>
            <w:tcW w:w="3060" w:type="dxa"/>
            <w:hideMark/>
          </w:tcPr>
          <w:p w14:paraId="3EE58F56"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Private-for-Profit ban lifted</w:t>
            </w:r>
          </w:p>
        </w:tc>
        <w:tc>
          <w:tcPr>
            <w:tcW w:w="4140" w:type="dxa"/>
            <w:hideMark/>
          </w:tcPr>
          <w:p w14:paraId="07B89ACE"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Private providers could begin charging service fees again</w:t>
            </w:r>
          </w:p>
        </w:tc>
      </w:tr>
      <w:tr w:rsidR="0019401E" w:rsidRPr="0010128E" w14:paraId="567A2B04" w14:textId="77777777" w:rsidTr="00666367">
        <w:trPr>
          <w:gridAfter w:val="1"/>
          <w:wAfter w:w="270" w:type="dxa"/>
          <w:trHeight w:val="600"/>
        </w:trPr>
        <w:tc>
          <w:tcPr>
            <w:tcW w:w="738" w:type="dxa"/>
            <w:noWrap/>
            <w:hideMark/>
          </w:tcPr>
          <w:p w14:paraId="3263D56A"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1992</w:t>
            </w:r>
          </w:p>
        </w:tc>
        <w:tc>
          <w:tcPr>
            <w:tcW w:w="3060" w:type="dxa"/>
            <w:hideMark/>
          </w:tcPr>
          <w:p w14:paraId="3AFF1A6D"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 xml:space="preserve">Health Management Teams </w:t>
            </w:r>
          </w:p>
        </w:tc>
        <w:tc>
          <w:tcPr>
            <w:tcW w:w="4140" w:type="dxa"/>
            <w:hideMark/>
          </w:tcPr>
          <w:p w14:paraId="67A5960C"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Creation of Health Management Teams at the District and Regional levels (DHMT, RHMT)</w:t>
            </w:r>
          </w:p>
        </w:tc>
      </w:tr>
      <w:tr w:rsidR="0019401E" w:rsidRPr="0010128E" w14:paraId="21A8EFEA" w14:textId="77777777" w:rsidTr="00666367">
        <w:trPr>
          <w:gridAfter w:val="1"/>
          <w:wAfter w:w="270" w:type="dxa"/>
          <w:trHeight w:val="600"/>
        </w:trPr>
        <w:tc>
          <w:tcPr>
            <w:tcW w:w="738" w:type="dxa"/>
            <w:noWrap/>
            <w:hideMark/>
          </w:tcPr>
          <w:p w14:paraId="27D11E6F"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1993</w:t>
            </w:r>
          </w:p>
        </w:tc>
        <w:tc>
          <w:tcPr>
            <w:tcW w:w="3060" w:type="dxa"/>
            <w:hideMark/>
          </w:tcPr>
          <w:p w14:paraId="1C8943F8"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Introduction of user fees</w:t>
            </w:r>
          </w:p>
        </w:tc>
        <w:tc>
          <w:tcPr>
            <w:tcW w:w="4140" w:type="dxa"/>
            <w:hideMark/>
          </w:tcPr>
          <w:p w14:paraId="59014B0C"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structure created for user fees; certain exemptions given for maternal and child health care services</w:t>
            </w:r>
          </w:p>
        </w:tc>
      </w:tr>
      <w:tr w:rsidR="0019401E" w:rsidRPr="0010128E" w14:paraId="4B27401A" w14:textId="77777777" w:rsidTr="00666367">
        <w:trPr>
          <w:gridAfter w:val="1"/>
          <w:wAfter w:w="270" w:type="dxa"/>
          <w:trHeight w:val="1200"/>
        </w:trPr>
        <w:tc>
          <w:tcPr>
            <w:tcW w:w="738" w:type="dxa"/>
            <w:noWrap/>
            <w:hideMark/>
          </w:tcPr>
          <w:p w14:paraId="6908B4B4"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1994</w:t>
            </w:r>
          </w:p>
        </w:tc>
        <w:tc>
          <w:tcPr>
            <w:tcW w:w="3060" w:type="dxa"/>
            <w:hideMark/>
          </w:tcPr>
          <w:p w14:paraId="0E094F49"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Health Sector Reform</w:t>
            </w:r>
          </w:p>
        </w:tc>
        <w:tc>
          <w:tcPr>
            <w:tcW w:w="4140" w:type="dxa"/>
            <w:hideMark/>
          </w:tcPr>
          <w:p w14:paraId="16335A98"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Aimed at improving efficiency, equity and resource mobilization through leadership, accountability and partnerships at all levels in the health system. Primary health care was adopted as the most cost-effective strategy to do this. Focus on decentralization of health services and financial reforms.</w:t>
            </w:r>
          </w:p>
        </w:tc>
      </w:tr>
      <w:tr w:rsidR="0019401E" w:rsidRPr="0010128E" w14:paraId="12454E97" w14:textId="77777777" w:rsidTr="00666367">
        <w:trPr>
          <w:gridAfter w:val="1"/>
          <w:wAfter w:w="270" w:type="dxa"/>
          <w:trHeight w:val="600"/>
        </w:trPr>
        <w:tc>
          <w:tcPr>
            <w:tcW w:w="738" w:type="dxa"/>
            <w:noWrap/>
            <w:hideMark/>
          </w:tcPr>
          <w:p w14:paraId="3BD2F8D7"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1996</w:t>
            </w:r>
          </w:p>
        </w:tc>
        <w:tc>
          <w:tcPr>
            <w:tcW w:w="3060" w:type="dxa"/>
            <w:hideMark/>
          </w:tcPr>
          <w:p w14:paraId="27A13051"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Local Government Reform Programme</w:t>
            </w:r>
          </w:p>
        </w:tc>
        <w:tc>
          <w:tcPr>
            <w:tcW w:w="4140" w:type="dxa"/>
            <w:hideMark/>
          </w:tcPr>
          <w:p w14:paraId="6DC74F97"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Instituted political, financial and administrative accountability at the district level</w:t>
            </w:r>
          </w:p>
        </w:tc>
      </w:tr>
      <w:tr w:rsidR="0019401E" w:rsidRPr="0010128E" w14:paraId="03DB2E7E" w14:textId="77777777" w:rsidTr="00666367">
        <w:trPr>
          <w:gridAfter w:val="1"/>
          <w:wAfter w:w="270" w:type="dxa"/>
          <w:trHeight w:val="600"/>
        </w:trPr>
        <w:tc>
          <w:tcPr>
            <w:tcW w:w="738" w:type="dxa"/>
            <w:noWrap/>
            <w:hideMark/>
          </w:tcPr>
          <w:p w14:paraId="07E4BEB7"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1998</w:t>
            </w:r>
          </w:p>
        </w:tc>
        <w:tc>
          <w:tcPr>
            <w:tcW w:w="3060" w:type="dxa"/>
            <w:hideMark/>
          </w:tcPr>
          <w:p w14:paraId="6D752D5F"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Poverty Eradication Strategy</w:t>
            </w:r>
          </w:p>
        </w:tc>
        <w:tc>
          <w:tcPr>
            <w:tcW w:w="4140" w:type="dxa"/>
            <w:hideMark/>
          </w:tcPr>
          <w:p w14:paraId="435A8CDF"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Poor health and nutrition identified as key components of poverty</w:t>
            </w:r>
          </w:p>
        </w:tc>
      </w:tr>
      <w:tr w:rsidR="0019401E" w:rsidRPr="0010128E" w14:paraId="1F0AF3D5" w14:textId="77777777" w:rsidTr="00666367">
        <w:trPr>
          <w:gridAfter w:val="1"/>
          <w:wAfter w:w="270" w:type="dxa"/>
          <w:trHeight w:val="300"/>
        </w:trPr>
        <w:tc>
          <w:tcPr>
            <w:tcW w:w="738" w:type="dxa"/>
            <w:noWrap/>
            <w:hideMark/>
          </w:tcPr>
          <w:p w14:paraId="0A934555"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1999</w:t>
            </w:r>
          </w:p>
        </w:tc>
        <w:tc>
          <w:tcPr>
            <w:tcW w:w="3060" w:type="dxa"/>
            <w:hideMark/>
          </w:tcPr>
          <w:p w14:paraId="4ED79223"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Health Insurance Fund (NHIF)</w:t>
            </w:r>
          </w:p>
        </w:tc>
        <w:tc>
          <w:tcPr>
            <w:tcW w:w="4140" w:type="dxa"/>
            <w:hideMark/>
          </w:tcPr>
          <w:p w14:paraId="3F0E34C3"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 xml:space="preserve">Health insurance </w:t>
            </w:r>
            <w:r w:rsidR="00700E17" w:rsidRPr="0010128E">
              <w:rPr>
                <w:rFonts w:ascii="Times New Roman" w:eastAsia="ＭＳ 明朝" w:hAnsi="Times New Roman"/>
                <w:sz w:val="24"/>
              </w:rPr>
              <w:t>program</w:t>
            </w:r>
            <w:r w:rsidRPr="0010128E">
              <w:rPr>
                <w:rFonts w:ascii="Times New Roman" w:eastAsia="ＭＳ 明朝" w:hAnsi="Times New Roman"/>
                <w:sz w:val="24"/>
              </w:rPr>
              <w:t xml:space="preserve"> created for civil servants</w:t>
            </w:r>
          </w:p>
        </w:tc>
      </w:tr>
      <w:tr w:rsidR="0019401E" w:rsidRPr="0010128E" w14:paraId="6267D3BB" w14:textId="77777777" w:rsidTr="00666367">
        <w:trPr>
          <w:gridAfter w:val="1"/>
          <w:wAfter w:w="270" w:type="dxa"/>
          <w:trHeight w:val="600"/>
        </w:trPr>
        <w:tc>
          <w:tcPr>
            <w:tcW w:w="738" w:type="dxa"/>
            <w:noWrap/>
            <w:hideMark/>
          </w:tcPr>
          <w:p w14:paraId="023907CD"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2000</w:t>
            </w:r>
          </w:p>
        </w:tc>
        <w:tc>
          <w:tcPr>
            <w:tcW w:w="3060" w:type="dxa"/>
            <w:hideMark/>
          </w:tcPr>
          <w:p w14:paraId="60ECF9A5"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Package of Essential Health Interventions</w:t>
            </w:r>
          </w:p>
        </w:tc>
        <w:tc>
          <w:tcPr>
            <w:tcW w:w="4140" w:type="dxa"/>
            <w:hideMark/>
          </w:tcPr>
          <w:p w14:paraId="7E32154B"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Prioritizing health services to reduce burden of disease, increase efficiency an and effectiveness</w:t>
            </w:r>
          </w:p>
        </w:tc>
      </w:tr>
      <w:tr w:rsidR="0019401E" w:rsidRPr="0010128E" w14:paraId="5DA8E1D1" w14:textId="77777777" w:rsidTr="00666367">
        <w:trPr>
          <w:gridAfter w:val="1"/>
          <w:wAfter w:w="270" w:type="dxa"/>
          <w:trHeight w:val="600"/>
        </w:trPr>
        <w:tc>
          <w:tcPr>
            <w:tcW w:w="738" w:type="dxa"/>
            <w:noWrap/>
            <w:hideMark/>
          </w:tcPr>
          <w:p w14:paraId="4432A5F1"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2000</w:t>
            </w:r>
          </w:p>
        </w:tc>
        <w:tc>
          <w:tcPr>
            <w:tcW w:w="3060" w:type="dxa"/>
            <w:hideMark/>
          </w:tcPr>
          <w:p w14:paraId="6614F5CD"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Vision 2025</w:t>
            </w:r>
          </w:p>
        </w:tc>
        <w:tc>
          <w:tcPr>
            <w:tcW w:w="4140" w:type="dxa"/>
            <w:hideMark/>
          </w:tcPr>
          <w:p w14:paraId="4D269EDA"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Long term national development plan; health sector critical to attaining high quality of life; improved access to PHC</w:t>
            </w:r>
          </w:p>
        </w:tc>
      </w:tr>
      <w:tr w:rsidR="0019401E" w:rsidRPr="0010128E" w14:paraId="1C2555A9" w14:textId="77777777" w:rsidTr="00666367">
        <w:trPr>
          <w:gridAfter w:val="1"/>
          <w:wAfter w:w="270" w:type="dxa"/>
          <w:trHeight w:val="600"/>
        </w:trPr>
        <w:tc>
          <w:tcPr>
            <w:tcW w:w="738" w:type="dxa"/>
            <w:noWrap/>
            <w:hideMark/>
          </w:tcPr>
          <w:p w14:paraId="32EBF9D9"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2001</w:t>
            </w:r>
          </w:p>
        </w:tc>
        <w:tc>
          <w:tcPr>
            <w:tcW w:w="3060" w:type="dxa"/>
            <w:hideMark/>
          </w:tcPr>
          <w:p w14:paraId="21DCDB64"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Community Health Fund (CHF)</w:t>
            </w:r>
          </w:p>
        </w:tc>
        <w:tc>
          <w:tcPr>
            <w:tcW w:w="4140" w:type="dxa"/>
            <w:hideMark/>
          </w:tcPr>
          <w:p w14:paraId="30D951D6"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 xml:space="preserve">Health insurance </w:t>
            </w:r>
            <w:r w:rsidR="00700E17" w:rsidRPr="0010128E">
              <w:rPr>
                <w:rFonts w:ascii="Times New Roman" w:eastAsia="ＭＳ 明朝" w:hAnsi="Times New Roman"/>
                <w:sz w:val="24"/>
              </w:rPr>
              <w:t>program</w:t>
            </w:r>
            <w:r w:rsidRPr="0010128E">
              <w:rPr>
                <w:rFonts w:ascii="Times New Roman" w:eastAsia="ＭＳ 明朝" w:hAnsi="Times New Roman"/>
                <w:sz w:val="24"/>
              </w:rPr>
              <w:t xml:space="preserve"> targeted at the poor and those living in rural areas</w:t>
            </w:r>
          </w:p>
        </w:tc>
      </w:tr>
      <w:tr w:rsidR="0019401E" w:rsidRPr="0010128E" w14:paraId="7414C3F3" w14:textId="77777777" w:rsidTr="00666367">
        <w:trPr>
          <w:gridAfter w:val="1"/>
          <w:wAfter w:w="270" w:type="dxa"/>
          <w:trHeight w:val="300"/>
        </w:trPr>
        <w:tc>
          <w:tcPr>
            <w:tcW w:w="738" w:type="dxa"/>
            <w:noWrap/>
            <w:hideMark/>
          </w:tcPr>
          <w:p w14:paraId="5F5402D8"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2003</w:t>
            </w:r>
          </w:p>
        </w:tc>
        <w:tc>
          <w:tcPr>
            <w:tcW w:w="3060" w:type="dxa"/>
            <w:hideMark/>
          </w:tcPr>
          <w:p w14:paraId="34FDF921"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Health Policy</w:t>
            </w:r>
          </w:p>
        </w:tc>
        <w:tc>
          <w:tcPr>
            <w:tcW w:w="4140" w:type="dxa"/>
            <w:hideMark/>
          </w:tcPr>
          <w:p w14:paraId="0E4B269B"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Revision of 1990 NHP</w:t>
            </w:r>
          </w:p>
        </w:tc>
      </w:tr>
      <w:tr w:rsidR="0019401E" w:rsidRPr="0010128E" w14:paraId="333199E8" w14:textId="77777777" w:rsidTr="00666367">
        <w:trPr>
          <w:gridAfter w:val="1"/>
          <w:wAfter w:w="270" w:type="dxa"/>
          <w:trHeight w:val="600"/>
        </w:trPr>
        <w:tc>
          <w:tcPr>
            <w:tcW w:w="738" w:type="dxa"/>
            <w:noWrap/>
            <w:hideMark/>
          </w:tcPr>
          <w:p w14:paraId="5BAE3198"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2005</w:t>
            </w:r>
          </w:p>
        </w:tc>
        <w:tc>
          <w:tcPr>
            <w:tcW w:w="3060" w:type="dxa"/>
            <w:hideMark/>
          </w:tcPr>
          <w:p w14:paraId="44B178D9"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Strategy for Growth and Reduction of Poverty</w:t>
            </w:r>
          </w:p>
        </w:tc>
        <w:tc>
          <w:tcPr>
            <w:tcW w:w="4140" w:type="dxa"/>
            <w:hideMark/>
          </w:tcPr>
          <w:p w14:paraId="6775F47F"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Provides the overall direction for the achievement of the Millennium Development Goals (MDGs)</w:t>
            </w:r>
          </w:p>
        </w:tc>
      </w:tr>
      <w:tr w:rsidR="0019401E" w:rsidRPr="0010128E" w14:paraId="680A0DF3" w14:textId="77777777" w:rsidTr="00666367">
        <w:trPr>
          <w:gridAfter w:val="1"/>
          <w:wAfter w:w="270" w:type="dxa"/>
          <w:trHeight w:val="600"/>
        </w:trPr>
        <w:tc>
          <w:tcPr>
            <w:tcW w:w="738" w:type="dxa"/>
            <w:noWrap/>
            <w:hideMark/>
          </w:tcPr>
          <w:p w14:paraId="10EA3718"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2007</w:t>
            </w:r>
          </w:p>
        </w:tc>
        <w:tc>
          <w:tcPr>
            <w:tcW w:w="3060" w:type="dxa"/>
            <w:hideMark/>
          </w:tcPr>
          <w:p w14:paraId="04505715"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National Health Policy</w:t>
            </w:r>
          </w:p>
        </w:tc>
        <w:tc>
          <w:tcPr>
            <w:tcW w:w="4140" w:type="dxa"/>
            <w:hideMark/>
          </w:tcPr>
          <w:p w14:paraId="19297F6C"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 xml:space="preserve">Revision of 2003 NHP, recognizing the contribution of the private sector in health service provision. </w:t>
            </w:r>
          </w:p>
        </w:tc>
      </w:tr>
      <w:tr w:rsidR="0019401E" w:rsidRPr="0010128E" w14:paraId="13ABBCE0" w14:textId="77777777" w:rsidTr="00666367">
        <w:trPr>
          <w:gridAfter w:val="1"/>
          <w:wAfter w:w="270" w:type="dxa"/>
          <w:trHeight w:val="600"/>
        </w:trPr>
        <w:tc>
          <w:tcPr>
            <w:tcW w:w="738" w:type="dxa"/>
            <w:noWrap/>
          </w:tcPr>
          <w:p w14:paraId="64C61A90"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2007</w:t>
            </w:r>
          </w:p>
        </w:tc>
        <w:tc>
          <w:tcPr>
            <w:tcW w:w="3060" w:type="dxa"/>
          </w:tcPr>
          <w:p w14:paraId="1EF5E6BF"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Primary Health Care Service Development Programme</w:t>
            </w:r>
          </w:p>
        </w:tc>
        <w:tc>
          <w:tcPr>
            <w:tcW w:w="4140" w:type="dxa"/>
          </w:tcPr>
          <w:p w14:paraId="5AA1FE75"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Main goal to accelerate the provision of primary health care services for all by 2012</w:t>
            </w:r>
          </w:p>
        </w:tc>
      </w:tr>
      <w:tr w:rsidR="0019401E" w:rsidRPr="0010128E" w14:paraId="4F5AA9A5" w14:textId="77777777" w:rsidTr="00666367">
        <w:trPr>
          <w:gridAfter w:val="1"/>
          <w:wAfter w:w="270" w:type="dxa"/>
          <w:trHeight w:val="600"/>
        </w:trPr>
        <w:tc>
          <w:tcPr>
            <w:tcW w:w="738" w:type="dxa"/>
            <w:noWrap/>
            <w:hideMark/>
          </w:tcPr>
          <w:p w14:paraId="3E79A635"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2011</w:t>
            </w:r>
          </w:p>
        </w:tc>
        <w:tc>
          <w:tcPr>
            <w:tcW w:w="3060" w:type="dxa"/>
            <w:hideMark/>
          </w:tcPr>
          <w:p w14:paraId="5BEA0802"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Public and Private Health Services Section</w:t>
            </w:r>
          </w:p>
        </w:tc>
        <w:tc>
          <w:tcPr>
            <w:tcW w:w="4140" w:type="dxa"/>
            <w:hideMark/>
          </w:tcPr>
          <w:p w14:paraId="3C421CE1" w14:textId="77777777" w:rsidR="0019401E" w:rsidRPr="0010128E" w:rsidRDefault="0019401E" w:rsidP="00CD59B4">
            <w:pPr>
              <w:rPr>
                <w:rFonts w:ascii="Times New Roman" w:eastAsia="ＭＳ 明朝" w:hAnsi="Times New Roman"/>
                <w:sz w:val="24"/>
              </w:rPr>
            </w:pPr>
            <w:r w:rsidRPr="0010128E">
              <w:rPr>
                <w:rFonts w:ascii="Times New Roman" w:eastAsia="ＭＳ 明朝" w:hAnsi="Times New Roman"/>
                <w:sz w:val="24"/>
              </w:rPr>
              <w:t>Merger of the Public Health Section and Voluntary and Private Health Services sections within the MOHSW.</w:t>
            </w:r>
          </w:p>
        </w:tc>
      </w:tr>
    </w:tbl>
    <w:p w14:paraId="642B0AD6" w14:textId="77777777" w:rsidR="00FF3B1B" w:rsidRPr="0010128E" w:rsidRDefault="00FF3B1B" w:rsidP="00B3545A">
      <w:pPr>
        <w:rPr>
          <w:rFonts w:ascii="Times New Roman" w:hAnsi="Times New Roman"/>
          <w:sz w:val="24"/>
        </w:rPr>
      </w:pPr>
    </w:p>
    <w:p w14:paraId="624BA329" w14:textId="77777777" w:rsidR="00FF3B1B" w:rsidRPr="0010128E" w:rsidRDefault="00FF3B1B">
      <w:pPr>
        <w:rPr>
          <w:rFonts w:ascii="Times New Roman" w:hAnsi="Times New Roman"/>
          <w:sz w:val="24"/>
        </w:rPr>
      </w:pPr>
      <w:r w:rsidRPr="0010128E">
        <w:rPr>
          <w:rFonts w:ascii="Times New Roman" w:hAnsi="Times New Roman"/>
          <w:sz w:val="24"/>
        </w:rPr>
        <w:br w:type="page"/>
      </w:r>
    </w:p>
    <w:p w14:paraId="0ABF398F" w14:textId="077EDCBB" w:rsidR="004A4B6E" w:rsidRPr="0010128E" w:rsidRDefault="00ED0913" w:rsidP="00FF3B1B">
      <w:pPr>
        <w:pStyle w:val="Heading2"/>
      </w:pPr>
      <w:bookmarkStart w:id="28" w:name="_Toc206320794"/>
      <w:r w:rsidRPr="0010128E">
        <w:t>Appendix 3</w:t>
      </w:r>
      <w:r w:rsidR="0010128E">
        <w:t>:</w:t>
      </w:r>
      <w:r w:rsidR="00FF3B1B" w:rsidRPr="0010128E">
        <w:t xml:space="preserve"> Comparison of Select Tanzanian Health Indicators to Other Sub-Saharan African Countries</w:t>
      </w:r>
      <w:bookmarkEnd w:id="28"/>
    </w:p>
    <w:p w14:paraId="650FD85F" w14:textId="77777777" w:rsidR="00FF3B1B" w:rsidRPr="0010128E" w:rsidRDefault="00FF3B1B" w:rsidP="00B3545A">
      <w:pPr>
        <w:rPr>
          <w:rFonts w:ascii="Times New Roman" w:hAnsi="Times New Roman"/>
          <w:sz w:val="24"/>
        </w:rPr>
      </w:pPr>
    </w:p>
    <w:p w14:paraId="300C229D" w14:textId="27B9A077" w:rsidR="00FF3B1B" w:rsidRPr="0010128E" w:rsidRDefault="00FF3B1B" w:rsidP="00FF3B1B">
      <w:pPr>
        <w:rPr>
          <w:rFonts w:ascii="Times New Roman" w:hAnsi="Times New Roman"/>
        </w:rPr>
      </w:pPr>
      <w:r w:rsidRPr="0010128E">
        <w:rPr>
          <w:rFonts w:ascii="Times New Roman" w:hAnsi="Times New Roman"/>
        </w:rPr>
        <w:t>Source</w:t>
      </w:r>
      <w:r w:rsidR="008E54EF" w:rsidRPr="0010128E">
        <w:rPr>
          <w:rFonts w:ascii="Times New Roman" w:hAnsi="Times New Roman"/>
        </w:rPr>
        <w:t>s</w:t>
      </w:r>
      <w:r w:rsidRPr="0010128E">
        <w:rPr>
          <w:rFonts w:ascii="Times New Roman" w:hAnsi="Times New Roman"/>
        </w:rPr>
        <w:t>: World Development Indicators, 2011</w:t>
      </w:r>
      <w:r w:rsidR="008E54EF" w:rsidRPr="0010128E">
        <w:rPr>
          <w:rFonts w:ascii="Times New Roman" w:hAnsi="Times New Roman"/>
        </w:rPr>
        <w:t>; UNAIDS, 2011; World Health Organization, 2011</w:t>
      </w:r>
      <w:r w:rsidRPr="0010128E">
        <w:rPr>
          <w:rFonts w:ascii="Times New Roman" w:hAnsi="Times New Roman"/>
        </w:rPr>
        <w:tab/>
      </w:r>
    </w:p>
    <w:tbl>
      <w:tblPr>
        <w:tblW w:w="6500" w:type="dxa"/>
        <w:tblInd w:w="93" w:type="dxa"/>
        <w:tblLook w:val="04A0" w:firstRow="1" w:lastRow="0" w:firstColumn="1" w:lastColumn="0" w:noHBand="0" w:noVBand="1"/>
      </w:tblPr>
      <w:tblGrid>
        <w:gridCol w:w="1300"/>
        <w:gridCol w:w="1300"/>
        <w:gridCol w:w="1300"/>
        <w:gridCol w:w="1300"/>
        <w:gridCol w:w="1300"/>
      </w:tblGrid>
      <w:tr w:rsidR="00A21985" w:rsidRPr="00A21985" w14:paraId="5BBAE7A0" w14:textId="77777777" w:rsidTr="00A21985">
        <w:trPr>
          <w:trHeight w:val="960"/>
        </w:trPr>
        <w:tc>
          <w:tcPr>
            <w:tcW w:w="1300"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DECD9BA"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Country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26964D3"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Life expectancy at birth in years, 1990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04DCB98"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Life expectancy at birth in years, 2009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3885100"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 xml:space="preserve">Increase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982B1E"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 Change</w:t>
            </w:r>
          </w:p>
        </w:tc>
      </w:tr>
      <w:tr w:rsidR="00A21985" w:rsidRPr="00A21985" w14:paraId="7D22687E"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C54DB23"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Lesotho</w:t>
            </w:r>
          </w:p>
        </w:tc>
        <w:tc>
          <w:tcPr>
            <w:tcW w:w="1300" w:type="dxa"/>
            <w:tcBorders>
              <w:top w:val="nil"/>
              <w:left w:val="nil"/>
              <w:bottom w:val="single" w:sz="4" w:space="0" w:color="auto"/>
              <w:right w:val="single" w:sz="4" w:space="0" w:color="auto"/>
            </w:tcBorders>
            <w:shd w:val="clear" w:color="auto" w:fill="auto"/>
            <w:vAlign w:val="bottom"/>
            <w:hideMark/>
          </w:tcPr>
          <w:p w14:paraId="4E67AAC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59.33</w:t>
            </w:r>
          </w:p>
        </w:tc>
        <w:tc>
          <w:tcPr>
            <w:tcW w:w="1300" w:type="dxa"/>
            <w:tcBorders>
              <w:top w:val="nil"/>
              <w:left w:val="nil"/>
              <w:bottom w:val="single" w:sz="4" w:space="0" w:color="auto"/>
              <w:right w:val="single" w:sz="4" w:space="0" w:color="auto"/>
            </w:tcBorders>
            <w:shd w:val="clear" w:color="auto" w:fill="auto"/>
            <w:vAlign w:val="bottom"/>
            <w:hideMark/>
          </w:tcPr>
          <w:p w14:paraId="7A0F5EB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46.67</w:t>
            </w:r>
          </w:p>
        </w:tc>
        <w:tc>
          <w:tcPr>
            <w:tcW w:w="1300" w:type="dxa"/>
            <w:tcBorders>
              <w:top w:val="nil"/>
              <w:left w:val="nil"/>
              <w:bottom w:val="single" w:sz="4" w:space="0" w:color="auto"/>
              <w:right w:val="single" w:sz="4" w:space="0" w:color="auto"/>
            </w:tcBorders>
            <w:shd w:val="clear" w:color="auto" w:fill="auto"/>
            <w:noWrap/>
            <w:vAlign w:val="bottom"/>
            <w:hideMark/>
          </w:tcPr>
          <w:p w14:paraId="3AB0BAA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-12.66</w:t>
            </w:r>
          </w:p>
        </w:tc>
        <w:tc>
          <w:tcPr>
            <w:tcW w:w="1300" w:type="dxa"/>
            <w:tcBorders>
              <w:top w:val="nil"/>
              <w:left w:val="nil"/>
              <w:bottom w:val="single" w:sz="4" w:space="0" w:color="auto"/>
              <w:right w:val="single" w:sz="4" w:space="0" w:color="auto"/>
            </w:tcBorders>
            <w:shd w:val="clear" w:color="auto" w:fill="auto"/>
            <w:noWrap/>
            <w:vAlign w:val="bottom"/>
            <w:hideMark/>
          </w:tcPr>
          <w:p w14:paraId="28F5EA1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-21%</w:t>
            </w:r>
          </w:p>
        </w:tc>
      </w:tr>
      <w:tr w:rsidR="00A21985" w:rsidRPr="00A21985" w14:paraId="03C398B7"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C0F9872"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Kenya</w:t>
            </w:r>
          </w:p>
        </w:tc>
        <w:tc>
          <w:tcPr>
            <w:tcW w:w="1300" w:type="dxa"/>
            <w:tcBorders>
              <w:top w:val="nil"/>
              <w:left w:val="nil"/>
              <w:bottom w:val="single" w:sz="4" w:space="0" w:color="auto"/>
              <w:right w:val="single" w:sz="4" w:space="0" w:color="auto"/>
            </w:tcBorders>
            <w:shd w:val="clear" w:color="auto" w:fill="auto"/>
            <w:vAlign w:val="bottom"/>
            <w:hideMark/>
          </w:tcPr>
          <w:p w14:paraId="6D580BD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59.34</w:t>
            </w:r>
          </w:p>
        </w:tc>
        <w:tc>
          <w:tcPr>
            <w:tcW w:w="1300" w:type="dxa"/>
            <w:tcBorders>
              <w:top w:val="nil"/>
              <w:left w:val="nil"/>
              <w:bottom w:val="single" w:sz="4" w:space="0" w:color="auto"/>
              <w:right w:val="single" w:sz="4" w:space="0" w:color="auto"/>
            </w:tcBorders>
            <w:shd w:val="clear" w:color="auto" w:fill="auto"/>
            <w:vAlign w:val="bottom"/>
            <w:hideMark/>
          </w:tcPr>
          <w:p w14:paraId="65CAA99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55.84</w:t>
            </w:r>
          </w:p>
        </w:tc>
        <w:tc>
          <w:tcPr>
            <w:tcW w:w="1300" w:type="dxa"/>
            <w:tcBorders>
              <w:top w:val="nil"/>
              <w:left w:val="nil"/>
              <w:bottom w:val="single" w:sz="4" w:space="0" w:color="auto"/>
              <w:right w:val="single" w:sz="4" w:space="0" w:color="auto"/>
            </w:tcBorders>
            <w:shd w:val="clear" w:color="auto" w:fill="auto"/>
            <w:noWrap/>
            <w:vAlign w:val="bottom"/>
            <w:hideMark/>
          </w:tcPr>
          <w:p w14:paraId="2AD9F7E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07091DA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w:t>
            </w:r>
          </w:p>
        </w:tc>
      </w:tr>
      <w:tr w:rsidR="00A21985" w:rsidRPr="00A21985" w14:paraId="5BADD3AE"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1C6606D"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Zambia</w:t>
            </w:r>
          </w:p>
        </w:tc>
        <w:tc>
          <w:tcPr>
            <w:tcW w:w="1300" w:type="dxa"/>
            <w:tcBorders>
              <w:top w:val="nil"/>
              <w:left w:val="nil"/>
              <w:bottom w:val="single" w:sz="4" w:space="0" w:color="auto"/>
              <w:right w:val="single" w:sz="4" w:space="0" w:color="auto"/>
            </w:tcBorders>
            <w:shd w:val="clear" w:color="auto" w:fill="auto"/>
            <w:vAlign w:val="bottom"/>
            <w:hideMark/>
          </w:tcPr>
          <w:p w14:paraId="326DF51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47.48</w:t>
            </w:r>
          </w:p>
        </w:tc>
        <w:tc>
          <w:tcPr>
            <w:tcW w:w="1300" w:type="dxa"/>
            <w:tcBorders>
              <w:top w:val="nil"/>
              <w:left w:val="nil"/>
              <w:bottom w:val="single" w:sz="4" w:space="0" w:color="auto"/>
              <w:right w:val="single" w:sz="4" w:space="0" w:color="auto"/>
            </w:tcBorders>
            <w:shd w:val="clear" w:color="auto" w:fill="auto"/>
            <w:vAlign w:val="bottom"/>
            <w:hideMark/>
          </w:tcPr>
          <w:p w14:paraId="3F5F3AE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47.81</w:t>
            </w:r>
          </w:p>
        </w:tc>
        <w:tc>
          <w:tcPr>
            <w:tcW w:w="1300" w:type="dxa"/>
            <w:tcBorders>
              <w:top w:val="nil"/>
              <w:left w:val="nil"/>
              <w:bottom w:val="single" w:sz="4" w:space="0" w:color="auto"/>
              <w:right w:val="single" w:sz="4" w:space="0" w:color="auto"/>
            </w:tcBorders>
            <w:shd w:val="clear" w:color="auto" w:fill="auto"/>
            <w:noWrap/>
            <w:vAlign w:val="bottom"/>
            <w:hideMark/>
          </w:tcPr>
          <w:p w14:paraId="4362D94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0.33</w:t>
            </w:r>
          </w:p>
        </w:tc>
        <w:tc>
          <w:tcPr>
            <w:tcW w:w="1300" w:type="dxa"/>
            <w:tcBorders>
              <w:top w:val="nil"/>
              <w:left w:val="nil"/>
              <w:bottom w:val="single" w:sz="4" w:space="0" w:color="auto"/>
              <w:right w:val="single" w:sz="4" w:space="0" w:color="auto"/>
            </w:tcBorders>
            <w:shd w:val="clear" w:color="auto" w:fill="auto"/>
            <w:noWrap/>
            <w:vAlign w:val="bottom"/>
            <w:hideMark/>
          </w:tcPr>
          <w:p w14:paraId="423739B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w:t>
            </w:r>
          </w:p>
        </w:tc>
      </w:tr>
      <w:tr w:rsidR="00A21985" w:rsidRPr="00A21985" w14:paraId="1173EDC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369EAEE0"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Mauritania</w:t>
            </w:r>
          </w:p>
        </w:tc>
        <w:tc>
          <w:tcPr>
            <w:tcW w:w="1300" w:type="dxa"/>
            <w:tcBorders>
              <w:top w:val="nil"/>
              <w:left w:val="nil"/>
              <w:bottom w:val="single" w:sz="4" w:space="0" w:color="auto"/>
              <w:right w:val="single" w:sz="4" w:space="0" w:color="auto"/>
            </w:tcBorders>
            <w:shd w:val="clear" w:color="auto" w:fill="auto"/>
            <w:vAlign w:val="bottom"/>
            <w:hideMark/>
          </w:tcPr>
          <w:p w14:paraId="00A79A1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55.94</w:t>
            </w:r>
          </w:p>
        </w:tc>
        <w:tc>
          <w:tcPr>
            <w:tcW w:w="1300" w:type="dxa"/>
            <w:tcBorders>
              <w:top w:val="nil"/>
              <w:left w:val="nil"/>
              <w:bottom w:val="single" w:sz="4" w:space="0" w:color="auto"/>
              <w:right w:val="single" w:sz="4" w:space="0" w:color="auto"/>
            </w:tcBorders>
            <w:shd w:val="clear" w:color="auto" w:fill="auto"/>
            <w:vAlign w:val="bottom"/>
            <w:hideMark/>
          </w:tcPr>
          <w:p w14:paraId="38CF78F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57.92</w:t>
            </w:r>
          </w:p>
        </w:tc>
        <w:tc>
          <w:tcPr>
            <w:tcW w:w="1300" w:type="dxa"/>
            <w:tcBorders>
              <w:top w:val="nil"/>
              <w:left w:val="nil"/>
              <w:bottom w:val="single" w:sz="4" w:space="0" w:color="auto"/>
              <w:right w:val="single" w:sz="4" w:space="0" w:color="auto"/>
            </w:tcBorders>
            <w:shd w:val="clear" w:color="auto" w:fill="auto"/>
            <w:noWrap/>
            <w:vAlign w:val="bottom"/>
            <w:hideMark/>
          </w:tcPr>
          <w:p w14:paraId="0A5F707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1.98</w:t>
            </w:r>
          </w:p>
        </w:tc>
        <w:tc>
          <w:tcPr>
            <w:tcW w:w="1300" w:type="dxa"/>
            <w:tcBorders>
              <w:top w:val="nil"/>
              <w:left w:val="nil"/>
              <w:bottom w:val="single" w:sz="4" w:space="0" w:color="auto"/>
              <w:right w:val="single" w:sz="4" w:space="0" w:color="auto"/>
            </w:tcBorders>
            <w:shd w:val="clear" w:color="auto" w:fill="auto"/>
            <w:noWrap/>
            <w:vAlign w:val="bottom"/>
            <w:hideMark/>
          </w:tcPr>
          <w:p w14:paraId="0A69A1E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w:t>
            </w:r>
          </w:p>
        </w:tc>
      </w:tr>
      <w:tr w:rsidR="00A21985" w:rsidRPr="00A21985" w14:paraId="1963F10D"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7750E16"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Comoros</w:t>
            </w:r>
          </w:p>
        </w:tc>
        <w:tc>
          <w:tcPr>
            <w:tcW w:w="1300" w:type="dxa"/>
            <w:tcBorders>
              <w:top w:val="nil"/>
              <w:left w:val="nil"/>
              <w:bottom w:val="single" w:sz="4" w:space="0" w:color="auto"/>
              <w:right w:val="single" w:sz="4" w:space="0" w:color="auto"/>
            </w:tcBorders>
            <w:shd w:val="clear" w:color="auto" w:fill="auto"/>
            <w:vAlign w:val="bottom"/>
            <w:hideMark/>
          </w:tcPr>
          <w:p w14:paraId="50AA16F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55.6</w:t>
            </w:r>
          </w:p>
        </w:tc>
        <w:tc>
          <w:tcPr>
            <w:tcW w:w="1300" w:type="dxa"/>
            <w:tcBorders>
              <w:top w:val="nil"/>
              <w:left w:val="nil"/>
              <w:bottom w:val="single" w:sz="4" w:space="0" w:color="auto"/>
              <w:right w:val="single" w:sz="4" w:space="0" w:color="auto"/>
            </w:tcBorders>
            <w:shd w:val="clear" w:color="auto" w:fill="auto"/>
            <w:vAlign w:val="bottom"/>
            <w:hideMark/>
          </w:tcPr>
          <w:p w14:paraId="283FEBA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60.23</w:t>
            </w:r>
          </w:p>
        </w:tc>
        <w:tc>
          <w:tcPr>
            <w:tcW w:w="1300" w:type="dxa"/>
            <w:tcBorders>
              <w:top w:val="nil"/>
              <w:left w:val="nil"/>
              <w:bottom w:val="single" w:sz="4" w:space="0" w:color="auto"/>
              <w:right w:val="single" w:sz="4" w:space="0" w:color="auto"/>
            </w:tcBorders>
            <w:shd w:val="clear" w:color="auto" w:fill="auto"/>
            <w:noWrap/>
            <w:vAlign w:val="bottom"/>
            <w:hideMark/>
          </w:tcPr>
          <w:p w14:paraId="374145E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4.63</w:t>
            </w:r>
          </w:p>
        </w:tc>
        <w:tc>
          <w:tcPr>
            <w:tcW w:w="1300" w:type="dxa"/>
            <w:tcBorders>
              <w:top w:val="nil"/>
              <w:left w:val="nil"/>
              <w:bottom w:val="single" w:sz="4" w:space="0" w:color="auto"/>
              <w:right w:val="single" w:sz="4" w:space="0" w:color="auto"/>
            </w:tcBorders>
            <w:shd w:val="clear" w:color="auto" w:fill="auto"/>
            <w:noWrap/>
            <w:vAlign w:val="bottom"/>
            <w:hideMark/>
          </w:tcPr>
          <w:p w14:paraId="5E23AAF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w:t>
            </w:r>
          </w:p>
        </w:tc>
      </w:tr>
      <w:tr w:rsidR="00A21985" w:rsidRPr="00A21985" w14:paraId="7C09F52D"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A232F3B"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Gambia</w:t>
            </w:r>
          </w:p>
        </w:tc>
        <w:tc>
          <w:tcPr>
            <w:tcW w:w="1300" w:type="dxa"/>
            <w:tcBorders>
              <w:top w:val="nil"/>
              <w:left w:val="nil"/>
              <w:bottom w:val="single" w:sz="4" w:space="0" w:color="auto"/>
              <w:right w:val="single" w:sz="4" w:space="0" w:color="auto"/>
            </w:tcBorders>
            <w:shd w:val="clear" w:color="auto" w:fill="auto"/>
            <w:vAlign w:val="bottom"/>
            <w:hideMark/>
          </w:tcPr>
          <w:p w14:paraId="22D7A40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53.13</w:t>
            </w:r>
          </w:p>
        </w:tc>
        <w:tc>
          <w:tcPr>
            <w:tcW w:w="1300" w:type="dxa"/>
            <w:tcBorders>
              <w:top w:val="nil"/>
              <w:left w:val="nil"/>
              <w:bottom w:val="single" w:sz="4" w:space="0" w:color="auto"/>
              <w:right w:val="single" w:sz="4" w:space="0" w:color="auto"/>
            </w:tcBorders>
            <w:shd w:val="clear" w:color="auto" w:fill="auto"/>
            <w:vAlign w:val="bottom"/>
            <w:hideMark/>
          </w:tcPr>
          <w:p w14:paraId="45BD7AB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57.84</w:t>
            </w:r>
          </w:p>
        </w:tc>
        <w:tc>
          <w:tcPr>
            <w:tcW w:w="1300" w:type="dxa"/>
            <w:tcBorders>
              <w:top w:val="nil"/>
              <w:left w:val="nil"/>
              <w:bottom w:val="single" w:sz="4" w:space="0" w:color="auto"/>
              <w:right w:val="single" w:sz="4" w:space="0" w:color="auto"/>
            </w:tcBorders>
            <w:shd w:val="clear" w:color="auto" w:fill="auto"/>
            <w:noWrap/>
            <w:vAlign w:val="bottom"/>
            <w:hideMark/>
          </w:tcPr>
          <w:p w14:paraId="111978D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4.71</w:t>
            </w:r>
          </w:p>
        </w:tc>
        <w:tc>
          <w:tcPr>
            <w:tcW w:w="1300" w:type="dxa"/>
            <w:tcBorders>
              <w:top w:val="nil"/>
              <w:left w:val="nil"/>
              <w:bottom w:val="single" w:sz="4" w:space="0" w:color="auto"/>
              <w:right w:val="single" w:sz="4" w:space="0" w:color="auto"/>
            </w:tcBorders>
            <w:shd w:val="clear" w:color="auto" w:fill="auto"/>
            <w:noWrap/>
            <w:vAlign w:val="bottom"/>
            <w:hideMark/>
          </w:tcPr>
          <w:p w14:paraId="193E09C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9%</w:t>
            </w:r>
          </w:p>
        </w:tc>
      </w:tr>
      <w:tr w:rsidR="00A21985" w:rsidRPr="00A21985" w14:paraId="31C1BCE8"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50FB00B"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Ghana</w:t>
            </w:r>
          </w:p>
        </w:tc>
        <w:tc>
          <w:tcPr>
            <w:tcW w:w="1300" w:type="dxa"/>
            <w:tcBorders>
              <w:top w:val="nil"/>
              <w:left w:val="nil"/>
              <w:bottom w:val="single" w:sz="4" w:space="0" w:color="auto"/>
              <w:right w:val="single" w:sz="4" w:space="0" w:color="auto"/>
            </w:tcBorders>
            <w:shd w:val="clear" w:color="auto" w:fill="auto"/>
            <w:vAlign w:val="bottom"/>
            <w:hideMark/>
          </w:tcPr>
          <w:p w14:paraId="65E150A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56.84</w:t>
            </w:r>
          </w:p>
        </w:tc>
        <w:tc>
          <w:tcPr>
            <w:tcW w:w="1300" w:type="dxa"/>
            <w:tcBorders>
              <w:top w:val="nil"/>
              <w:left w:val="nil"/>
              <w:bottom w:val="single" w:sz="4" w:space="0" w:color="auto"/>
              <w:right w:val="single" w:sz="4" w:space="0" w:color="auto"/>
            </w:tcBorders>
            <w:shd w:val="clear" w:color="auto" w:fill="auto"/>
            <w:vAlign w:val="bottom"/>
            <w:hideMark/>
          </w:tcPr>
          <w:p w14:paraId="0FE06C3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63.39</w:t>
            </w:r>
          </w:p>
        </w:tc>
        <w:tc>
          <w:tcPr>
            <w:tcW w:w="1300" w:type="dxa"/>
            <w:tcBorders>
              <w:top w:val="nil"/>
              <w:left w:val="nil"/>
              <w:bottom w:val="single" w:sz="4" w:space="0" w:color="auto"/>
              <w:right w:val="single" w:sz="4" w:space="0" w:color="auto"/>
            </w:tcBorders>
            <w:shd w:val="clear" w:color="auto" w:fill="auto"/>
            <w:noWrap/>
            <w:vAlign w:val="bottom"/>
            <w:hideMark/>
          </w:tcPr>
          <w:p w14:paraId="2FA4476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6.55</w:t>
            </w:r>
          </w:p>
        </w:tc>
        <w:tc>
          <w:tcPr>
            <w:tcW w:w="1300" w:type="dxa"/>
            <w:tcBorders>
              <w:top w:val="nil"/>
              <w:left w:val="nil"/>
              <w:bottom w:val="single" w:sz="4" w:space="0" w:color="auto"/>
              <w:right w:val="single" w:sz="4" w:space="0" w:color="auto"/>
            </w:tcBorders>
            <w:shd w:val="clear" w:color="auto" w:fill="auto"/>
            <w:noWrap/>
            <w:vAlign w:val="bottom"/>
            <w:hideMark/>
          </w:tcPr>
          <w:p w14:paraId="4C53466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w:t>
            </w:r>
          </w:p>
        </w:tc>
      </w:tr>
      <w:tr w:rsidR="00A21985" w:rsidRPr="00A21985" w14:paraId="542DF955"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7078ED0A"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Nigeria</w:t>
            </w:r>
          </w:p>
        </w:tc>
        <w:tc>
          <w:tcPr>
            <w:tcW w:w="1300" w:type="dxa"/>
            <w:tcBorders>
              <w:top w:val="nil"/>
              <w:left w:val="nil"/>
              <w:bottom w:val="single" w:sz="4" w:space="0" w:color="auto"/>
              <w:right w:val="single" w:sz="4" w:space="0" w:color="auto"/>
            </w:tcBorders>
            <w:shd w:val="clear" w:color="auto" w:fill="auto"/>
            <w:vAlign w:val="bottom"/>
            <w:hideMark/>
          </w:tcPr>
          <w:p w14:paraId="6A2A93E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45.64</w:t>
            </w:r>
          </w:p>
        </w:tc>
        <w:tc>
          <w:tcPr>
            <w:tcW w:w="1300" w:type="dxa"/>
            <w:tcBorders>
              <w:top w:val="nil"/>
              <w:left w:val="nil"/>
              <w:bottom w:val="single" w:sz="4" w:space="0" w:color="auto"/>
              <w:right w:val="single" w:sz="4" w:space="0" w:color="auto"/>
            </w:tcBorders>
            <w:shd w:val="clear" w:color="auto" w:fill="auto"/>
            <w:vAlign w:val="bottom"/>
            <w:hideMark/>
          </w:tcPr>
          <w:p w14:paraId="7E78640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50.95</w:t>
            </w:r>
          </w:p>
        </w:tc>
        <w:tc>
          <w:tcPr>
            <w:tcW w:w="1300" w:type="dxa"/>
            <w:tcBorders>
              <w:top w:val="nil"/>
              <w:left w:val="nil"/>
              <w:bottom w:val="single" w:sz="4" w:space="0" w:color="auto"/>
              <w:right w:val="single" w:sz="4" w:space="0" w:color="auto"/>
            </w:tcBorders>
            <w:shd w:val="clear" w:color="auto" w:fill="auto"/>
            <w:noWrap/>
            <w:vAlign w:val="bottom"/>
            <w:hideMark/>
          </w:tcPr>
          <w:p w14:paraId="6BA21DF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5.31</w:t>
            </w:r>
          </w:p>
        </w:tc>
        <w:tc>
          <w:tcPr>
            <w:tcW w:w="1300" w:type="dxa"/>
            <w:tcBorders>
              <w:top w:val="nil"/>
              <w:left w:val="nil"/>
              <w:bottom w:val="single" w:sz="4" w:space="0" w:color="auto"/>
              <w:right w:val="single" w:sz="4" w:space="0" w:color="auto"/>
            </w:tcBorders>
            <w:shd w:val="clear" w:color="auto" w:fill="auto"/>
            <w:noWrap/>
            <w:vAlign w:val="bottom"/>
            <w:hideMark/>
          </w:tcPr>
          <w:p w14:paraId="4565244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w:t>
            </w:r>
          </w:p>
        </w:tc>
      </w:tr>
      <w:tr w:rsidR="00A21985" w:rsidRPr="00A21985" w14:paraId="5263B344"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000000" w:fill="BFBFBF"/>
            <w:vAlign w:val="bottom"/>
            <w:hideMark/>
          </w:tcPr>
          <w:p w14:paraId="02C3128A" w14:textId="77777777" w:rsidR="00A21985" w:rsidRPr="00A21985" w:rsidRDefault="00A21985" w:rsidP="00A21985">
            <w:pP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Tanzania</w:t>
            </w:r>
          </w:p>
        </w:tc>
        <w:tc>
          <w:tcPr>
            <w:tcW w:w="1300" w:type="dxa"/>
            <w:tcBorders>
              <w:top w:val="nil"/>
              <w:left w:val="nil"/>
              <w:bottom w:val="single" w:sz="4" w:space="0" w:color="auto"/>
              <w:right w:val="single" w:sz="4" w:space="0" w:color="auto"/>
            </w:tcBorders>
            <w:shd w:val="clear" w:color="000000" w:fill="BFBFBF"/>
            <w:vAlign w:val="bottom"/>
            <w:hideMark/>
          </w:tcPr>
          <w:p w14:paraId="10AAF7C0"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50.6</w:t>
            </w:r>
          </w:p>
        </w:tc>
        <w:tc>
          <w:tcPr>
            <w:tcW w:w="1300" w:type="dxa"/>
            <w:tcBorders>
              <w:top w:val="nil"/>
              <w:left w:val="nil"/>
              <w:bottom w:val="single" w:sz="4" w:space="0" w:color="auto"/>
              <w:right w:val="single" w:sz="4" w:space="0" w:color="auto"/>
            </w:tcBorders>
            <w:shd w:val="clear" w:color="000000" w:fill="BFBFBF"/>
            <w:vAlign w:val="bottom"/>
            <w:hideMark/>
          </w:tcPr>
          <w:p w14:paraId="09EF3C66"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56.59</w:t>
            </w:r>
          </w:p>
        </w:tc>
        <w:tc>
          <w:tcPr>
            <w:tcW w:w="1300" w:type="dxa"/>
            <w:tcBorders>
              <w:top w:val="nil"/>
              <w:left w:val="nil"/>
              <w:bottom w:val="single" w:sz="4" w:space="0" w:color="auto"/>
              <w:right w:val="single" w:sz="4" w:space="0" w:color="auto"/>
            </w:tcBorders>
            <w:shd w:val="clear" w:color="000000" w:fill="BFBFBF"/>
            <w:noWrap/>
            <w:vAlign w:val="bottom"/>
            <w:hideMark/>
          </w:tcPr>
          <w:p w14:paraId="39ECCFA6"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5.99</w:t>
            </w:r>
          </w:p>
        </w:tc>
        <w:tc>
          <w:tcPr>
            <w:tcW w:w="1300" w:type="dxa"/>
            <w:tcBorders>
              <w:top w:val="nil"/>
              <w:left w:val="nil"/>
              <w:bottom w:val="single" w:sz="4" w:space="0" w:color="auto"/>
              <w:right w:val="single" w:sz="4" w:space="0" w:color="auto"/>
            </w:tcBorders>
            <w:shd w:val="clear" w:color="000000" w:fill="BFBFBF"/>
            <w:noWrap/>
            <w:vAlign w:val="bottom"/>
            <w:hideMark/>
          </w:tcPr>
          <w:p w14:paraId="4CE6EECB"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12%</w:t>
            </w:r>
          </w:p>
        </w:tc>
      </w:tr>
      <w:tr w:rsidR="00A21985" w:rsidRPr="00A21985" w14:paraId="5EE8E8D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55E12985"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Uganda</w:t>
            </w:r>
          </w:p>
        </w:tc>
        <w:tc>
          <w:tcPr>
            <w:tcW w:w="1300" w:type="dxa"/>
            <w:tcBorders>
              <w:top w:val="nil"/>
              <w:left w:val="nil"/>
              <w:bottom w:val="single" w:sz="4" w:space="0" w:color="auto"/>
              <w:right w:val="single" w:sz="4" w:space="0" w:color="auto"/>
            </w:tcBorders>
            <w:shd w:val="clear" w:color="auto" w:fill="auto"/>
            <w:vAlign w:val="bottom"/>
            <w:hideMark/>
          </w:tcPr>
          <w:p w14:paraId="3A02A9C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47.36</w:t>
            </w:r>
          </w:p>
        </w:tc>
        <w:tc>
          <w:tcPr>
            <w:tcW w:w="1300" w:type="dxa"/>
            <w:tcBorders>
              <w:top w:val="nil"/>
              <w:left w:val="nil"/>
              <w:bottom w:val="single" w:sz="4" w:space="0" w:color="auto"/>
              <w:right w:val="single" w:sz="4" w:space="0" w:color="auto"/>
            </w:tcBorders>
            <w:shd w:val="clear" w:color="auto" w:fill="auto"/>
            <w:vAlign w:val="bottom"/>
            <w:hideMark/>
          </w:tcPr>
          <w:p w14:paraId="13384F0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53.07</w:t>
            </w:r>
          </w:p>
        </w:tc>
        <w:tc>
          <w:tcPr>
            <w:tcW w:w="1300" w:type="dxa"/>
            <w:tcBorders>
              <w:top w:val="nil"/>
              <w:left w:val="nil"/>
              <w:bottom w:val="single" w:sz="4" w:space="0" w:color="auto"/>
              <w:right w:val="single" w:sz="4" w:space="0" w:color="auto"/>
            </w:tcBorders>
            <w:shd w:val="clear" w:color="auto" w:fill="auto"/>
            <w:noWrap/>
            <w:vAlign w:val="bottom"/>
            <w:hideMark/>
          </w:tcPr>
          <w:p w14:paraId="723C6C3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5.71</w:t>
            </w:r>
          </w:p>
        </w:tc>
        <w:tc>
          <w:tcPr>
            <w:tcW w:w="1300" w:type="dxa"/>
            <w:tcBorders>
              <w:top w:val="nil"/>
              <w:left w:val="nil"/>
              <w:bottom w:val="single" w:sz="4" w:space="0" w:color="auto"/>
              <w:right w:val="single" w:sz="4" w:space="0" w:color="auto"/>
            </w:tcBorders>
            <w:shd w:val="clear" w:color="auto" w:fill="auto"/>
            <w:noWrap/>
            <w:vAlign w:val="bottom"/>
            <w:hideMark/>
          </w:tcPr>
          <w:p w14:paraId="130FC44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w:t>
            </w:r>
          </w:p>
        </w:tc>
      </w:tr>
      <w:tr w:rsidR="00A21985" w:rsidRPr="00A21985" w14:paraId="30E76346"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838C01E"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Benin</w:t>
            </w:r>
          </w:p>
        </w:tc>
        <w:tc>
          <w:tcPr>
            <w:tcW w:w="1300" w:type="dxa"/>
            <w:tcBorders>
              <w:top w:val="nil"/>
              <w:left w:val="nil"/>
              <w:bottom w:val="single" w:sz="4" w:space="0" w:color="auto"/>
              <w:right w:val="single" w:sz="4" w:space="0" w:color="auto"/>
            </w:tcBorders>
            <w:shd w:val="clear" w:color="auto" w:fill="auto"/>
            <w:vAlign w:val="bottom"/>
            <w:hideMark/>
          </w:tcPr>
          <w:p w14:paraId="242F141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48.65</w:t>
            </w:r>
          </w:p>
        </w:tc>
        <w:tc>
          <w:tcPr>
            <w:tcW w:w="1300" w:type="dxa"/>
            <w:tcBorders>
              <w:top w:val="nil"/>
              <w:left w:val="nil"/>
              <w:bottom w:val="single" w:sz="4" w:space="0" w:color="auto"/>
              <w:right w:val="single" w:sz="4" w:space="0" w:color="auto"/>
            </w:tcBorders>
            <w:shd w:val="clear" w:color="auto" w:fill="auto"/>
            <w:vAlign w:val="bottom"/>
            <w:hideMark/>
          </w:tcPr>
          <w:p w14:paraId="3D22A45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55.17</w:t>
            </w:r>
          </w:p>
        </w:tc>
        <w:tc>
          <w:tcPr>
            <w:tcW w:w="1300" w:type="dxa"/>
            <w:tcBorders>
              <w:top w:val="nil"/>
              <w:left w:val="nil"/>
              <w:bottom w:val="single" w:sz="4" w:space="0" w:color="auto"/>
              <w:right w:val="single" w:sz="4" w:space="0" w:color="auto"/>
            </w:tcBorders>
            <w:shd w:val="clear" w:color="auto" w:fill="auto"/>
            <w:noWrap/>
            <w:vAlign w:val="bottom"/>
            <w:hideMark/>
          </w:tcPr>
          <w:p w14:paraId="7507DD0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6.52</w:t>
            </w:r>
          </w:p>
        </w:tc>
        <w:tc>
          <w:tcPr>
            <w:tcW w:w="1300" w:type="dxa"/>
            <w:tcBorders>
              <w:top w:val="nil"/>
              <w:left w:val="nil"/>
              <w:bottom w:val="single" w:sz="4" w:space="0" w:color="auto"/>
              <w:right w:val="single" w:sz="4" w:space="0" w:color="auto"/>
            </w:tcBorders>
            <w:shd w:val="clear" w:color="auto" w:fill="auto"/>
            <w:noWrap/>
            <w:vAlign w:val="bottom"/>
            <w:hideMark/>
          </w:tcPr>
          <w:p w14:paraId="49B7F2B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13%</w:t>
            </w:r>
          </w:p>
        </w:tc>
      </w:tr>
      <w:tr w:rsidR="00A21985" w:rsidRPr="00A21985" w14:paraId="2B61C949"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37D83385"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Mozambique</w:t>
            </w:r>
          </w:p>
        </w:tc>
        <w:tc>
          <w:tcPr>
            <w:tcW w:w="1300" w:type="dxa"/>
            <w:tcBorders>
              <w:top w:val="nil"/>
              <w:left w:val="nil"/>
              <w:bottom w:val="single" w:sz="4" w:space="0" w:color="auto"/>
              <w:right w:val="single" w:sz="4" w:space="0" w:color="auto"/>
            </w:tcBorders>
            <w:shd w:val="clear" w:color="auto" w:fill="auto"/>
            <w:vAlign w:val="bottom"/>
            <w:hideMark/>
          </w:tcPr>
          <w:p w14:paraId="7C3D4CE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43.18</w:t>
            </w:r>
          </w:p>
        </w:tc>
        <w:tc>
          <w:tcPr>
            <w:tcW w:w="1300" w:type="dxa"/>
            <w:tcBorders>
              <w:top w:val="nil"/>
              <w:left w:val="nil"/>
              <w:bottom w:val="single" w:sz="4" w:space="0" w:color="auto"/>
              <w:right w:val="single" w:sz="4" w:space="0" w:color="auto"/>
            </w:tcBorders>
            <w:shd w:val="clear" w:color="auto" w:fill="auto"/>
            <w:vAlign w:val="bottom"/>
            <w:hideMark/>
          </w:tcPr>
          <w:p w14:paraId="56BC471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49.28</w:t>
            </w:r>
          </w:p>
        </w:tc>
        <w:tc>
          <w:tcPr>
            <w:tcW w:w="1300" w:type="dxa"/>
            <w:tcBorders>
              <w:top w:val="nil"/>
              <w:left w:val="nil"/>
              <w:bottom w:val="single" w:sz="4" w:space="0" w:color="auto"/>
              <w:right w:val="single" w:sz="4" w:space="0" w:color="auto"/>
            </w:tcBorders>
            <w:shd w:val="clear" w:color="auto" w:fill="auto"/>
            <w:noWrap/>
            <w:vAlign w:val="bottom"/>
            <w:hideMark/>
          </w:tcPr>
          <w:p w14:paraId="0FFFD29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6.1</w:t>
            </w:r>
          </w:p>
        </w:tc>
        <w:tc>
          <w:tcPr>
            <w:tcW w:w="1300" w:type="dxa"/>
            <w:tcBorders>
              <w:top w:val="nil"/>
              <w:left w:val="nil"/>
              <w:bottom w:val="single" w:sz="4" w:space="0" w:color="auto"/>
              <w:right w:val="single" w:sz="4" w:space="0" w:color="auto"/>
            </w:tcBorders>
            <w:shd w:val="clear" w:color="auto" w:fill="auto"/>
            <w:noWrap/>
            <w:vAlign w:val="bottom"/>
            <w:hideMark/>
          </w:tcPr>
          <w:p w14:paraId="643DA14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14%</w:t>
            </w:r>
          </w:p>
        </w:tc>
      </w:tr>
      <w:tr w:rsidR="00A21985" w:rsidRPr="00A21985" w14:paraId="03A74C10"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6173C5D7"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Sudan</w:t>
            </w:r>
          </w:p>
        </w:tc>
        <w:tc>
          <w:tcPr>
            <w:tcW w:w="1300" w:type="dxa"/>
            <w:tcBorders>
              <w:top w:val="nil"/>
              <w:left w:val="nil"/>
              <w:bottom w:val="single" w:sz="4" w:space="0" w:color="auto"/>
              <w:right w:val="single" w:sz="4" w:space="0" w:color="auto"/>
            </w:tcBorders>
            <w:shd w:val="clear" w:color="auto" w:fill="auto"/>
            <w:vAlign w:val="bottom"/>
            <w:hideMark/>
          </w:tcPr>
          <w:p w14:paraId="3179BE8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52.53</w:t>
            </w:r>
          </w:p>
        </w:tc>
        <w:tc>
          <w:tcPr>
            <w:tcW w:w="1300" w:type="dxa"/>
            <w:tcBorders>
              <w:top w:val="nil"/>
              <w:left w:val="nil"/>
              <w:bottom w:val="single" w:sz="4" w:space="0" w:color="auto"/>
              <w:right w:val="single" w:sz="4" w:space="0" w:color="auto"/>
            </w:tcBorders>
            <w:shd w:val="clear" w:color="auto" w:fill="auto"/>
            <w:vAlign w:val="bottom"/>
            <w:hideMark/>
          </w:tcPr>
          <w:p w14:paraId="268EBFF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60.79</w:t>
            </w:r>
          </w:p>
        </w:tc>
        <w:tc>
          <w:tcPr>
            <w:tcW w:w="1300" w:type="dxa"/>
            <w:tcBorders>
              <w:top w:val="nil"/>
              <w:left w:val="nil"/>
              <w:bottom w:val="single" w:sz="4" w:space="0" w:color="auto"/>
              <w:right w:val="single" w:sz="4" w:space="0" w:color="auto"/>
            </w:tcBorders>
            <w:shd w:val="clear" w:color="auto" w:fill="auto"/>
            <w:noWrap/>
            <w:vAlign w:val="bottom"/>
            <w:hideMark/>
          </w:tcPr>
          <w:p w14:paraId="4D685EA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8.26</w:t>
            </w:r>
          </w:p>
        </w:tc>
        <w:tc>
          <w:tcPr>
            <w:tcW w:w="1300" w:type="dxa"/>
            <w:tcBorders>
              <w:top w:val="nil"/>
              <w:left w:val="nil"/>
              <w:bottom w:val="single" w:sz="4" w:space="0" w:color="auto"/>
              <w:right w:val="single" w:sz="4" w:space="0" w:color="auto"/>
            </w:tcBorders>
            <w:shd w:val="clear" w:color="auto" w:fill="auto"/>
            <w:noWrap/>
            <w:vAlign w:val="bottom"/>
            <w:hideMark/>
          </w:tcPr>
          <w:p w14:paraId="3803C4F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16%</w:t>
            </w:r>
          </w:p>
        </w:tc>
      </w:tr>
      <w:tr w:rsidR="00A21985" w:rsidRPr="00A21985" w14:paraId="34B2C85B"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441DB49D"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Guinea</w:t>
            </w:r>
          </w:p>
        </w:tc>
        <w:tc>
          <w:tcPr>
            <w:tcW w:w="1300" w:type="dxa"/>
            <w:tcBorders>
              <w:top w:val="nil"/>
              <w:left w:val="nil"/>
              <w:bottom w:val="single" w:sz="4" w:space="0" w:color="auto"/>
              <w:right w:val="single" w:sz="4" w:space="0" w:color="auto"/>
            </w:tcBorders>
            <w:shd w:val="clear" w:color="auto" w:fill="auto"/>
            <w:vAlign w:val="bottom"/>
            <w:hideMark/>
          </w:tcPr>
          <w:p w14:paraId="42A6CAB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43.67</w:t>
            </w:r>
          </w:p>
        </w:tc>
        <w:tc>
          <w:tcPr>
            <w:tcW w:w="1300" w:type="dxa"/>
            <w:tcBorders>
              <w:top w:val="nil"/>
              <w:left w:val="nil"/>
              <w:bottom w:val="single" w:sz="4" w:space="0" w:color="auto"/>
              <w:right w:val="single" w:sz="4" w:space="0" w:color="auto"/>
            </w:tcBorders>
            <w:shd w:val="clear" w:color="auto" w:fill="auto"/>
            <w:vAlign w:val="bottom"/>
            <w:hideMark/>
          </w:tcPr>
          <w:p w14:paraId="13BBCCF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53.17</w:t>
            </w:r>
          </w:p>
        </w:tc>
        <w:tc>
          <w:tcPr>
            <w:tcW w:w="1300" w:type="dxa"/>
            <w:tcBorders>
              <w:top w:val="nil"/>
              <w:left w:val="nil"/>
              <w:bottom w:val="single" w:sz="4" w:space="0" w:color="auto"/>
              <w:right w:val="single" w:sz="4" w:space="0" w:color="auto"/>
            </w:tcBorders>
            <w:shd w:val="clear" w:color="auto" w:fill="auto"/>
            <w:noWrap/>
            <w:vAlign w:val="bottom"/>
            <w:hideMark/>
          </w:tcPr>
          <w:p w14:paraId="26B2C43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9.5</w:t>
            </w:r>
          </w:p>
        </w:tc>
        <w:tc>
          <w:tcPr>
            <w:tcW w:w="1300" w:type="dxa"/>
            <w:tcBorders>
              <w:top w:val="nil"/>
              <w:left w:val="nil"/>
              <w:bottom w:val="single" w:sz="4" w:space="0" w:color="auto"/>
              <w:right w:val="single" w:sz="4" w:space="0" w:color="auto"/>
            </w:tcBorders>
            <w:shd w:val="clear" w:color="auto" w:fill="auto"/>
            <w:noWrap/>
            <w:vAlign w:val="bottom"/>
            <w:hideMark/>
          </w:tcPr>
          <w:p w14:paraId="331E83C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22%</w:t>
            </w:r>
          </w:p>
        </w:tc>
      </w:tr>
    </w:tbl>
    <w:p w14:paraId="51196B17" w14:textId="77777777" w:rsidR="00FF3B1B" w:rsidRDefault="00FF3B1B" w:rsidP="00FF3B1B">
      <w:pPr>
        <w:rPr>
          <w:rFonts w:ascii="Times New Roman" w:hAnsi="Times New Roman"/>
          <w:sz w:val="20"/>
          <w:szCs w:val="20"/>
        </w:rPr>
      </w:pPr>
    </w:p>
    <w:p w14:paraId="0781BA02" w14:textId="77777777" w:rsidR="00B6243B" w:rsidRPr="00A21985" w:rsidRDefault="00B6243B" w:rsidP="00FF3B1B">
      <w:pPr>
        <w:rPr>
          <w:rFonts w:ascii="Times New Roman" w:hAnsi="Times New Roman"/>
          <w:sz w:val="20"/>
          <w:szCs w:val="20"/>
        </w:rPr>
      </w:pPr>
    </w:p>
    <w:tbl>
      <w:tblPr>
        <w:tblW w:w="6500" w:type="dxa"/>
        <w:tblInd w:w="93" w:type="dxa"/>
        <w:tblLook w:val="04A0" w:firstRow="1" w:lastRow="0" w:firstColumn="1" w:lastColumn="0" w:noHBand="0" w:noVBand="1"/>
      </w:tblPr>
      <w:tblGrid>
        <w:gridCol w:w="1300"/>
        <w:gridCol w:w="1300"/>
        <w:gridCol w:w="1300"/>
        <w:gridCol w:w="1300"/>
        <w:gridCol w:w="1300"/>
      </w:tblGrid>
      <w:tr w:rsidR="00A21985" w:rsidRPr="00A21985" w14:paraId="2BF33E3E" w14:textId="77777777" w:rsidTr="00B6243B">
        <w:trPr>
          <w:trHeight w:val="1457"/>
        </w:trPr>
        <w:tc>
          <w:tcPr>
            <w:tcW w:w="1300"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05CF5DA"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Country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9507673"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Infant Mortality Rate per 1,000 Live Births, 1990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EDCF3D6"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Infant Mortality Rate per 1,000 Live Births, 2009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D8365AE"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Decrease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4E0B7AD"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 Change</w:t>
            </w:r>
          </w:p>
        </w:tc>
      </w:tr>
      <w:tr w:rsidR="00A21985" w:rsidRPr="00A21985" w14:paraId="5EA8EB54"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000000" w:fill="BFBFBF"/>
            <w:vAlign w:val="bottom"/>
            <w:hideMark/>
          </w:tcPr>
          <w:p w14:paraId="2DA7948F" w14:textId="77777777" w:rsidR="00A21985" w:rsidRPr="00A21985" w:rsidRDefault="00A21985" w:rsidP="00A21985">
            <w:pP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Tanzania</w:t>
            </w:r>
          </w:p>
        </w:tc>
        <w:tc>
          <w:tcPr>
            <w:tcW w:w="1300" w:type="dxa"/>
            <w:tcBorders>
              <w:top w:val="nil"/>
              <w:left w:val="nil"/>
              <w:bottom w:val="single" w:sz="4" w:space="0" w:color="auto"/>
              <w:right w:val="single" w:sz="4" w:space="0" w:color="auto"/>
            </w:tcBorders>
            <w:shd w:val="clear" w:color="000000" w:fill="BFBFBF"/>
            <w:vAlign w:val="bottom"/>
            <w:hideMark/>
          </w:tcPr>
          <w:p w14:paraId="10FB0918"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95.2</w:t>
            </w:r>
          </w:p>
        </w:tc>
        <w:tc>
          <w:tcPr>
            <w:tcW w:w="1300" w:type="dxa"/>
            <w:tcBorders>
              <w:top w:val="nil"/>
              <w:left w:val="nil"/>
              <w:bottom w:val="single" w:sz="4" w:space="0" w:color="auto"/>
              <w:right w:val="single" w:sz="4" w:space="0" w:color="auto"/>
            </w:tcBorders>
            <w:shd w:val="clear" w:color="000000" w:fill="BFBFBF"/>
            <w:vAlign w:val="bottom"/>
            <w:hideMark/>
          </w:tcPr>
          <w:p w14:paraId="09989AB7"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52.5</w:t>
            </w:r>
          </w:p>
        </w:tc>
        <w:tc>
          <w:tcPr>
            <w:tcW w:w="1300" w:type="dxa"/>
            <w:tcBorders>
              <w:top w:val="nil"/>
              <w:left w:val="nil"/>
              <w:bottom w:val="single" w:sz="4" w:space="0" w:color="auto"/>
              <w:right w:val="single" w:sz="4" w:space="0" w:color="auto"/>
            </w:tcBorders>
            <w:shd w:val="clear" w:color="000000" w:fill="BFBFBF"/>
            <w:noWrap/>
            <w:vAlign w:val="bottom"/>
            <w:hideMark/>
          </w:tcPr>
          <w:p w14:paraId="3E740C69"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-42.7</w:t>
            </w:r>
          </w:p>
        </w:tc>
        <w:tc>
          <w:tcPr>
            <w:tcW w:w="1300" w:type="dxa"/>
            <w:tcBorders>
              <w:top w:val="nil"/>
              <w:left w:val="nil"/>
              <w:bottom w:val="single" w:sz="4" w:space="0" w:color="auto"/>
              <w:right w:val="single" w:sz="4" w:space="0" w:color="auto"/>
            </w:tcBorders>
            <w:shd w:val="clear" w:color="000000" w:fill="BFBFBF"/>
            <w:noWrap/>
            <w:vAlign w:val="bottom"/>
            <w:hideMark/>
          </w:tcPr>
          <w:p w14:paraId="050CFF40"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-45%</w:t>
            </w:r>
          </w:p>
        </w:tc>
      </w:tr>
      <w:tr w:rsidR="00A21985" w:rsidRPr="00A21985" w14:paraId="02835A79"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1158CE62"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Uganda</w:t>
            </w:r>
          </w:p>
        </w:tc>
        <w:tc>
          <w:tcPr>
            <w:tcW w:w="1300" w:type="dxa"/>
            <w:tcBorders>
              <w:top w:val="nil"/>
              <w:left w:val="nil"/>
              <w:bottom w:val="single" w:sz="4" w:space="0" w:color="auto"/>
              <w:right w:val="single" w:sz="4" w:space="0" w:color="auto"/>
            </w:tcBorders>
            <w:shd w:val="clear" w:color="auto" w:fill="auto"/>
            <w:vAlign w:val="bottom"/>
            <w:hideMark/>
          </w:tcPr>
          <w:p w14:paraId="16F2496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105.8</w:t>
            </w:r>
          </w:p>
        </w:tc>
        <w:tc>
          <w:tcPr>
            <w:tcW w:w="1300" w:type="dxa"/>
            <w:tcBorders>
              <w:top w:val="nil"/>
              <w:left w:val="nil"/>
              <w:bottom w:val="single" w:sz="4" w:space="0" w:color="auto"/>
              <w:right w:val="single" w:sz="4" w:space="0" w:color="auto"/>
            </w:tcBorders>
            <w:shd w:val="clear" w:color="auto" w:fill="auto"/>
            <w:vAlign w:val="bottom"/>
            <w:hideMark/>
          </w:tcPr>
          <w:p w14:paraId="67F729B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65</w:t>
            </w:r>
          </w:p>
        </w:tc>
        <w:tc>
          <w:tcPr>
            <w:tcW w:w="1300" w:type="dxa"/>
            <w:tcBorders>
              <w:top w:val="nil"/>
              <w:left w:val="nil"/>
              <w:bottom w:val="single" w:sz="4" w:space="0" w:color="auto"/>
              <w:right w:val="single" w:sz="4" w:space="0" w:color="auto"/>
            </w:tcBorders>
            <w:shd w:val="clear" w:color="auto" w:fill="auto"/>
            <w:noWrap/>
            <w:vAlign w:val="bottom"/>
            <w:hideMark/>
          </w:tcPr>
          <w:p w14:paraId="10094DB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-40.8</w:t>
            </w:r>
          </w:p>
        </w:tc>
        <w:tc>
          <w:tcPr>
            <w:tcW w:w="1300" w:type="dxa"/>
            <w:tcBorders>
              <w:top w:val="nil"/>
              <w:left w:val="nil"/>
              <w:bottom w:val="single" w:sz="4" w:space="0" w:color="auto"/>
              <w:right w:val="single" w:sz="4" w:space="0" w:color="auto"/>
            </w:tcBorders>
            <w:shd w:val="clear" w:color="auto" w:fill="auto"/>
            <w:noWrap/>
            <w:vAlign w:val="bottom"/>
            <w:hideMark/>
          </w:tcPr>
          <w:p w14:paraId="4FF8453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-39%</w:t>
            </w:r>
          </w:p>
        </w:tc>
      </w:tr>
      <w:tr w:rsidR="00A21985" w:rsidRPr="00A21985" w14:paraId="75A7ECCC"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4327621"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Guinea</w:t>
            </w:r>
          </w:p>
        </w:tc>
        <w:tc>
          <w:tcPr>
            <w:tcW w:w="1300" w:type="dxa"/>
            <w:tcBorders>
              <w:top w:val="nil"/>
              <w:left w:val="nil"/>
              <w:bottom w:val="single" w:sz="4" w:space="0" w:color="auto"/>
              <w:right w:val="single" w:sz="4" w:space="0" w:color="auto"/>
            </w:tcBorders>
            <w:shd w:val="clear" w:color="auto" w:fill="auto"/>
            <w:vAlign w:val="bottom"/>
            <w:hideMark/>
          </w:tcPr>
          <w:p w14:paraId="1EEA7CE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135.4</w:t>
            </w:r>
          </w:p>
        </w:tc>
        <w:tc>
          <w:tcPr>
            <w:tcW w:w="1300" w:type="dxa"/>
            <w:tcBorders>
              <w:top w:val="nil"/>
              <w:left w:val="nil"/>
              <w:bottom w:val="single" w:sz="4" w:space="0" w:color="auto"/>
              <w:right w:val="single" w:sz="4" w:space="0" w:color="auto"/>
            </w:tcBorders>
            <w:shd w:val="clear" w:color="auto" w:fill="auto"/>
            <w:vAlign w:val="bottom"/>
            <w:hideMark/>
          </w:tcPr>
          <w:p w14:paraId="24C5604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83.6</w:t>
            </w:r>
          </w:p>
        </w:tc>
        <w:tc>
          <w:tcPr>
            <w:tcW w:w="1300" w:type="dxa"/>
            <w:tcBorders>
              <w:top w:val="nil"/>
              <w:left w:val="nil"/>
              <w:bottom w:val="single" w:sz="4" w:space="0" w:color="auto"/>
              <w:right w:val="single" w:sz="4" w:space="0" w:color="auto"/>
            </w:tcBorders>
            <w:shd w:val="clear" w:color="auto" w:fill="auto"/>
            <w:noWrap/>
            <w:vAlign w:val="bottom"/>
            <w:hideMark/>
          </w:tcPr>
          <w:p w14:paraId="430B564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-51.8</w:t>
            </w:r>
          </w:p>
        </w:tc>
        <w:tc>
          <w:tcPr>
            <w:tcW w:w="1300" w:type="dxa"/>
            <w:tcBorders>
              <w:top w:val="nil"/>
              <w:left w:val="nil"/>
              <w:bottom w:val="single" w:sz="4" w:space="0" w:color="auto"/>
              <w:right w:val="single" w:sz="4" w:space="0" w:color="auto"/>
            </w:tcBorders>
            <w:shd w:val="clear" w:color="auto" w:fill="auto"/>
            <w:noWrap/>
            <w:vAlign w:val="bottom"/>
            <w:hideMark/>
          </w:tcPr>
          <w:p w14:paraId="24F8BE4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-38%</w:t>
            </w:r>
          </w:p>
        </w:tc>
      </w:tr>
      <w:tr w:rsidR="00A21985" w:rsidRPr="00A21985" w14:paraId="43DE4362" w14:textId="77777777" w:rsidTr="00A21985">
        <w:trPr>
          <w:trHeight w:val="323"/>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463453DB"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Mozambique</w:t>
            </w:r>
          </w:p>
        </w:tc>
        <w:tc>
          <w:tcPr>
            <w:tcW w:w="1300" w:type="dxa"/>
            <w:tcBorders>
              <w:top w:val="nil"/>
              <w:left w:val="nil"/>
              <w:bottom w:val="single" w:sz="4" w:space="0" w:color="auto"/>
              <w:right w:val="single" w:sz="4" w:space="0" w:color="auto"/>
            </w:tcBorders>
            <w:shd w:val="clear" w:color="auto" w:fill="auto"/>
            <w:vAlign w:val="bottom"/>
            <w:hideMark/>
          </w:tcPr>
          <w:p w14:paraId="6081DB3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146.2</w:t>
            </w:r>
          </w:p>
        </w:tc>
        <w:tc>
          <w:tcPr>
            <w:tcW w:w="1300" w:type="dxa"/>
            <w:tcBorders>
              <w:top w:val="nil"/>
              <w:left w:val="nil"/>
              <w:bottom w:val="single" w:sz="4" w:space="0" w:color="auto"/>
              <w:right w:val="single" w:sz="4" w:space="0" w:color="auto"/>
            </w:tcBorders>
            <w:shd w:val="clear" w:color="auto" w:fill="auto"/>
            <w:vAlign w:val="bottom"/>
            <w:hideMark/>
          </w:tcPr>
          <w:p w14:paraId="70C4957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94.6</w:t>
            </w:r>
          </w:p>
        </w:tc>
        <w:tc>
          <w:tcPr>
            <w:tcW w:w="1300" w:type="dxa"/>
            <w:tcBorders>
              <w:top w:val="nil"/>
              <w:left w:val="nil"/>
              <w:bottom w:val="single" w:sz="4" w:space="0" w:color="auto"/>
              <w:right w:val="single" w:sz="4" w:space="0" w:color="auto"/>
            </w:tcBorders>
            <w:shd w:val="clear" w:color="auto" w:fill="auto"/>
            <w:noWrap/>
            <w:vAlign w:val="bottom"/>
            <w:hideMark/>
          </w:tcPr>
          <w:p w14:paraId="40A6DC0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-51.6</w:t>
            </w:r>
          </w:p>
        </w:tc>
        <w:tc>
          <w:tcPr>
            <w:tcW w:w="1300" w:type="dxa"/>
            <w:tcBorders>
              <w:top w:val="nil"/>
              <w:left w:val="nil"/>
              <w:bottom w:val="single" w:sz="4" w:space="0" w:color="auto"/>
              <w:right w:val="single" w:sz="4" w:space="0" w:color="auto"/>
            </w:tcBorders>
            <w:shd w:val="clear" w:color="auto" w:fill="auto"/>
            <w:noWrap/>
            <w:vAlign w:val="bottom"/>
            <w:hideMark/>
          </w:tcPr>
          <w:p w14:paraId="5C54FF9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w:t>
            </w:r>
          </w:p>
        </w:tc>
      </w:tr>
      <w:tr w:rsidR="00A21985" w:rsidRPr="00A21985" w14:paraId="5FE9DC0F"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40CBE649"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Zambia</w:t>
            </w:r>
          </w:p>
        </w:tc>
        <w:tc>
          <w:tcPr>
            <w:tcW w:w="1300" w:type="dxa"/>
            <w:tcBorders>
              <w:top w:val="nil"/>
              <w:left w:val="nil"/>
              <w:bottom w:val="single" w:sz="4" w:space="0" w:color="auto"/>
              <w:right w:val="single" w:sz="4" w:space="0" w:color="auto"/>
            </w:tcBorders>
            <w:shd w:val="clear" w:color="auto" w:fill="auto"/>
            <w:vAlign w:val="bottom"/>
            <w:hideMark/>
          </w:tcPr>
          <w:p w14:paraId="694E56A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109.2</w:t>
            </w:r>
          </w:p>
        </w:tc>
        <w:tc>
          <w:tcPr>
            <w:tcW w:w="1300" w:type="dxa"/>
            <w:tcBorders>
              <w:top w:val="nil"/>
              <w:left w:val="nil"/>
              <w:bottom w:val="single" w:sz="4" w:space="0" w:color="auto"/>
              <w:right w:val="single" w:sz="4" w:space="0" w:color="auto"/>
            </w:tcBorders>
            <w:shd w:val="clear" w:color="auto" w:fill="auto"/>
            <w:vAlign w:val="bottom"/>
            <w:hideMark/>
          </w:tcPr>
          <w:p w14:paraId="7D5E761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71.5</w:t>
            </w:r>
          </w:p>
        </w:tc>
        <w:tc>
          <w:tcPr>
            <w:tcW w:w="1300" w:type="dxa"/>
            <w:tcBorders>
              <w:top w:val="nil"/>
              <w:left w:val="nil"/>
              <w:bottom w:val="single" w:sz="4" w:space="0" w:color="auto"/>
              <w:right w:val="single" w:sz="4" w:space="0" w:color="auto"/>
            </w:tcBorders>
            <w:shd w:val="clear" w:color="auto" w:fill="auto"/>
            <w:noWrap/>
            <w:vAlign w:val="bottom"/>
            <w:hideMark/>
          </w:tcPr>
          <w:p w14:paraId="2BE455A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-37.7</w:t>
            </w:r>
          </w:p>
        </w:tc>
        <w:tc>
          <w:tcPr>
            <w:tcW w:w="1300" w:type="dxa"/>
            <w:tcBorders>
              <w:top w:val="nil"/>
              <w:left w:val="nil"/>
              <w:bottom w:val="single" w:sz="4" w:space="0" w:color="auto"/>
              <w:right w:val="single" w:sz="4" w:space="0" w:color="auto"/>
            </w:tcBorders>
            <w:shd w:val="clear" w:color="auto" w:fill="auto"/>
            <w:noWrap/>
            <w:vAlign w:val="bottom"/>
            <w:hideMark/>
          </w:tcPr>
          <w:p w14:paraId="71B5A0E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w:t>
            </w:r>
          </w:p>
        </w:tc>
      </w:tr>
      <w:tr w:rsidR="00A21985" w:rsidRPr="00A21985" w14:paraId="4793BD17"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9AC2343"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Ghana</w:t>
            </w:r>
          </w:p>
        </w:tc>
        <w:tc>
          <w:tcPr>
            <w:tcW w:w="1300" w:type="dxa"/>
            <w:tcBorders>
              <w:top w:val="nil"/>
              <w:left w:val="nil"/>
              <w:bottom w:val="single" w:sz="4" w:space="0" w:color="auto"/>
              <w:right w:val="single" w:sz="4" w:space="0" w:color="auto"/>
            </w:tcBorders>
            <w:shd w:val="clear" w:color="auto" w:fill="auto"/>
            <w:vAlign w:val="bottom"/>
            <w:hideMark/>
          </w:tcPr>
          <w:p w14:paraId="4BD185D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76.7</w:t>
            </w:r>
          </w:p>
        </w:tc>
        <w:tc>
          <w:tcPr>
            <w:tcW w:w="1300" w:type="dxa"/>
            <w:tcBorders>
              <w:top w:val="nil"/>
              <w:left w:val="nil"/>
              <w:bottom w:val="single" w:sz="4" w:space="0" w:color="auto"/>
              <w:right w:val="single" w:sz="4" w:space="0" w:color="auto"/>
            </w:tcBorders>
            <w:shd w:val="clear" w:color="auto" w:fill="auto"/>
            <w:vAlign w:val="bottom"/>
            <w:hideMark/>
          </w:tcPr>
          <w:p w14:paraId="4007CA3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51.3</w:t>
            </w:r>
          </w:p>
        </w:tc>
        <w:tc>
          <w:tcPr>
            <w:tcW w:w="1300" w:type="dxa"/>
            <w:tcBorders>
              <w:top w:val="nil"/>
              <w:left w:val="nil"/>
              <w:bottom w:val="single" w:sz="4" w:space="0" w:color="auto"/>
              <w:right w:val="single" w:sz="4" w:space="0" w:color="auto"/>
            </w:tcBorders>
            <w:shd w:val="clear" w:color="auto" w:fill="auto"/>
            <w:noWrap/>
            <w:vAlign w:val="bottom"/>
            <w:hideMark/>
          </w:tcPr>
          <w:p w14:paraId="05E6772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-25.4</w:t>
            </w:r>
          </w:p>
        </w:tc>
        <w:tc>
          <w:tcPr>
            <w:tcW w:w="1300" w:type="dxa"/>
            <w:tcBorders>
              <w:top w:val="nil"/>
              <w:left w:val="nil"/>
              <w:bottom w:val="single" w:sz="4" w:space="0" w:color="auto"/>
              <w:right w:val="single" w:sz="4" w:space="0" w:color="auto"/>
            </w:tcBorders>
            <w:shd w:val="clear" w:color="auto" w:fill="auto"/>
            <w:noWrap/>
            <w:vAlign w:val="bottom"/>
            <w:hideMark/>
          </w:tcPr>
          <w:p w14:paraId="7575E9B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-33%</w:t>
            </w:r>
          </w:p>
        </w:tc>
      </w:tr>
      <w:tr w:rsidR="00A21985" w:rsidRPr="00A21985" w14:paraId="5DDB20C5"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9C9EA69"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Benin</w:t>
            </w:r>
          </w:p>
        </w:tc>
        <w:tc>
          <w:tcPr>
            <w:tcW w:w="1300" w:type="dxa"/>
            <w:tcBorders>
              <w:top w:val="nil"/>
              <w:left w:val="nil"/>
              <w:bottom w:val="single" w:sz="4" w:space="0" w:color="auto"/>
              <w:right w:val="single" w:sz="4" w:space="0" w:color="auto"/>
            </w:tcBorders>
            <w:shd w:val="clear" w:color="auto" w:fill="auto"/>
            <w:vAlign w:val="bottom"/>
            <w:hideMark/>
          </w:tcPr>
          <w:p w14:paraId="2232637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107</w:t>
            </w:r>
          </w:p>
        </w:tc>
        <w:tc>
          <w:tcPr>
            <w:tcW w:w="1300" w:type="dxa"/>
            <w:tcBorders>
              <w:top w:val="nil"/>
              <w:left w:val="nil"/>
              <w:bottom w:val="single" w:sz="4" w:space="0" w:color="auto"/>
              <w:right w:val="single" w:sz="4" w:space="0" w:color="auto"/>
            </w:tcBorders>
            <w:shd w:val="clear" w:color="auto" w:fill="auto"/>
            <w:vAlign w:val="bottom"/>
            <w:hideMark/>
          </w:tcPr>
          <w:p w14:paraId="021E6AE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74.7</w:t>
            </w:r>
          </w:p>
        </w:tc>
        <w:tc>
          <w:tcPr>
            <w:tcW w:w="1300" w:type="dxa"/>
            <w:tcBorders>
              <w:top w:val="nil"/>
              <w:left w:val="nil"/>
              <w:bottom w:val="single" w:sz="4" w:space="0" w:color="auto"/>
              <w:right w:val="single" w:sz="4" w:space="0" w:color="auto"/>
            </w:tcBorders>
            <w:shd w:val="clear" w:color="auto" w:fill="auto"/>
            <w:noWrap/>
            <w:vAlign w:val="bottom"/>
            <w:hideMark/>
          </w:tcPr>
          <w:p w14:paraId="63F6F86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-32.3</w:t>
            </w:r>
          </w:p>
        </w:tc>
        <w:tc>
          <w:tcPr>
            <w:tcW w:w="1300" w:type="dxa"/>
            <w:tcBorders>
              <w:top w:val="nil"/>
              <w:left w:val="nil"/>
              <w:bottom w:val="single" w:sz="4" w:space="0" w:color="auto"/>
              <w:right w:val="single" w:sz="4" w:space="0" w:color="auto"/>
            </w:tcBorders>
            <w:shd w:val="clear" w:color="auto" w:fill="auto"/>
            <w:noWrap/>
            <w:vAlign w:val="bottom"/>
            <w:hideMark/>
          </w:tcPr>
          <w:p w14:paraId="14A3756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-30%</w:t>
            </w:r>
          </w:p>
        </w:tc>
      </w:tr>
      <w:tr w:rsidR="00A21985" w:rsidRPr="00A21985" w14:paraId="0D8F8B50"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3A84FC2F"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Nigeria</w:t>
            </w:r>
          </w:p>
        </w:tc>
        <w:tc>
          <w:tcPr>
            <w:tcW w:w="1300" w:type="dxa"/>
            <w:tcBorders>
              <w:top w:val="nil"/>
              <w:left w:val="nil"/>
              <w:bottom w:val="single" w:sz="4" w:space="0" w:color="auto"/>
              <w:right w:val="single" w:sz="4" w:space="0" w:color="auto"/>
            </w:tcBorders>
            <w:shd w:val="clear" w:color="auto" w:fill="auto"/>
            <w:vAlign w:val="bottom"/>
            <w:hideMark/>
          </w:tcPr>
          <w:p w14:paraId="1ACB700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126</w:t>
            </w:r>
          </w:p>
        </w:tc>
        <w:tc>
          <w:tcPr>
            <w:tcW w:w="1300" w:type="dxa"/>
            <w:tcBorders>
              <w:top w:val="nil"/>
              <w:left w:val="nil"/>
              <w:bottom w:val="single" w:sz="4" w:space="0" w:color="auto"/>
              <w:right w:val="single" w:sz="4" w:space="0" w:color="auto"/>
            </w:tcBorders>
            <w:shd w:val="clear" w:color="auto" w:fill="auto"/>
            <w:vAlign w:val="bottom"/>
            <w:hideMark/>
          </w:tcPr>
          <w:p w14:paraId="0995143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90.4</w:t>
            </w:r>
          </w:p>
        </w:tc>
        <w:tc>
          <w:tcPr>
            <w:tcW w:w="1300" w:type="dxa"/>
            <w:tcBorders>
              <w:top w:val="nil"/>
              <w:left w:val="nil"/>
              <w:bottom w:val="single" w:sz="4" w:space="0" w:color="auto"/>
              <w:right w:val="single" w:sz="4" w:space="0" w:color="auto"/>
            </w:tcBorders>
            <w:shd w:val="clear" w:color="auto" w:fill="auto"/>
            <w:noWrap/>
            <w:vAlign w:val="bottom"/>
            <w:hideMark/>
          </w:tcPr>
          <w:p w14:paraId="3735FFE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-35.6</w:t>
            </w:r>
          </w:p>
        </w:tc>
        <w:tc>
          <w:tcPr>
            <w:tcW w:w="1300" w:type="dxa"/>
            <w:tcBorders>
              <w:top w:val="nil"/>
              <w:left w:val="nil"/>
              <w:bottom w:val="single" w:sz="4" w:space="0" w:color="auto"/>
              <w:right w:val="single" w:sz="4" w:space="0" w:color="auto"/>
            </w:tcBorders>
            <w:shd w:val="clear" w:color="auto" w:fill="auto"/>
            <w:noWrap/>
            <w:vAlign w:val="bottom"/>
            <w:hideMark/>
          </w:tcPr>
          <w:p w14:paraId="2DA77DB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-28%</w:t>
            </w:r>
          </w:p>
        </w:tc>
      </w:tr>
      <w:tr w:rsidR="00A21985" w:rsidRPr="00A21985" w14:paraId="70CA8CBD"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56E032C2"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Comoros</w:t>
            </w:r>
          </w:p>
        </w:tc>
        <w:tc>
          <w:tcPr>
            <w:tcW w:w="1300" w:type="dxa"/>
            <w:tcBorders>
              <w:top w:val="nil"/>
              <w:left w:val="nil"/>
              <w:bottom w:val="single" w:sz="4" w:space="0" w:color="auto"/>
              <w:right w:val="single" w:sz="4" w:space="0" w:color="auto"/>
            </w:tcBorders>
            <w:shd w:val="clear" w:color="auto" w:fill="auto"/>
            <w:vAlign w:val="bottom"/>
            <w:hideMark/>
          </w:tcPr>
          <w:p w14:paraId="72082D3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87.9</w:t>
            </w:r>
          </w:p>
        </w:tc>
        <w:tc>
          <w:tcPr>
            <w:tcW w:w="1300" w:type="dxa"/>
            <w:tcBorders>
              <w:top w:val="nil"/>
              <w:left w:val="nil"/>
              <w:bottom w:val="single" w:sz="4" w:space="0" w:color="auto"/>
              <w:right w:val="single" w:sz="4" w:space="0" w:color="auto"/>
            </w:tcBorders>
            <w:shd w:val="clear" w:color="auto" w:fill="auto"/>
            <w:vAlign w:val="bottom"/>
            <w:hideMark/>
          </w:tcPr>
          <w:p w14:paraId="3EBC8B8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64</w:t>
            </w:r>
          </w:p>
        </w:tc>
        <w:tc>
          <w:tcPr>
            <w:tcW w:w="1300" w:type="dxa"/>
            <w:tcBorders>
              <w:top w:val="nil"/>
              <w:left w:val="nil"/>
              <w:bottom w:val="single" w:sz="4" w:space="0" w:color="auto"/>
              <w:right w:val="single" w:sz="4" w:space="0" w:color="auto"/>
            </w:tcBorders>
            <w:shd w:val="clear" w:color="auto" w:fill="auto"/>
            <w:noWrap/>
            <w:vAlign w:val="bottom"/>
            <w:hideMark/>
          </w:tcPr>
          <w:p w14:paraId="6241720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-23.9</w:t>
            </w:r>
          </w:p>
        </w:tc>
        <w:tc>
          <w:tcPr>
            <w:tcW w:w="1300" w:type="dxa"/>
            <w:tcBorders>
              <w:top w:val="nil"/>
              <w:left w:val="nil"/>
              <w:bottom w:val="single" w:sz="4" w:space="0" w:color="auto"/>
              <w:right w:val="single" w:sz="4" w:space="0" w:color="auto"/>
            </w:tcBorders>
            <w:shd w:val="clear" w:color="auto" w:fill="auto"/>
            <w:noWrap/>
            <w:vAlign w:val="bottom"/>
            <w:hideMark/>
          </w:tcPr>
          <w:p w14:paraId="03BFD13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-27%</w:t>
            </w:r>
          </w:p>
        </w:tc>
      </w:tr>
      <w:tr w:rsidR="00A21985" w:rsidRPr="00A21985" w14:paraId="519BB8F0"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586135E"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Gambia</w:t>
            </w:r>
          </w:p>
        </w:tc>
        <w:tc>
          <w:tcPr>
            <w:tcW w:w="1300" w:type="dxa"/>
            <w:tcBorders>
              <w:top w:val="nil"/>
              <w:left w:val="nil"/>
              <w:bottom w:val="single" w:sz="4" w:space="0" w:color="auto"/>
              <w:right w:val="single" w:sz="4" w:space="0" w:color="auto"/>
            </w:tcBorders>
            <w:shd w:val="clear" w:color="auto" w:fill="auto"/>
            <w:vAlign w:val="bottom"/>
            <w:hideMark/>
          </w:tcPr>
          <w:p w14:paraId="23A1B56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78.3</w:t>
            </w:r>
          </w:p>
        </w:tc>
        <w:tc>
          <w:tcPr>
            <w:tcW w:w="1300" w:type="dxa"/>
            <w:tcBorders>
              <w:top w:val="nil"/>
              <w:left w:val="nil"/>
              <w:bottom w:val="single" w:sz="4" w:space="0" w:color="auto"/>
              <w:right w:val="single" w:sz="4" w:space="0" w:color="auto"/>
            </w:tcBorders>
            <w:shd w:val="clear" w:color="auto" w:fill="auto"/>
            <w:vAlign w:val="bottom"/>
            <w:hideMark/>
          </w:tcPr>
          <w:p w14:paraId="0DB9B38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57.8</w:t>
            </w:r>
          </w:p>
        </w:tc>
        <w:tc>
          <w:tcPr>
            <w:tcW w:w="1300" w:type="dxa"/>
            <w:tcBorders>
              <w:top w:val="nil"/>
              <w:left w:val="nil"/>
              <w:bottom w:val="single" w:sz="4" w:space="0" w:color="auto"/>
              <w:right w:val="single" w:sz="4" w:space="0" w:color="auto"/>
            </w:tcBorders>
            <w:shd w:val="clear" w:color="auto" w:fill="auto"/>
            <w:noWrap/>
            <w:vAlign w:val="bottom"/>
            <w:hideMark/>
          </w:tcPr>
          <w:p w14:paraId="2828D38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-20.5</w:t>
            </w:r>
          </w:p>
        </w:tc>
        <w:tc>
          <w:tcPr>
            <w:tcW w:w="1300" w:type="dxa"/>
            <w:tcBorders>
              <w:top w:val="nil"/>
              <w:left w:val="nil"/>
              <w:bottom w:val="single" w:sz="4" w:space="0" w:color="auto"/>
              <w:right w:val="single" w:sz="4" w:space="0" w:color="auto"/>
            </w:tcBorders>
            <w:shd w:val="clear" w:color="auto" w:fill="auto"/>
            <w:noWrap/>
            <w:vAlign w:val="bottom"/>
            <w:hideMark/>
          </w:tcPr>
          <w:p w14:paraId="4146BBB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-26%</w:t>
            </w:r>
          </w:p>
        </w:tc>
      </w:tr>
      <w:tr w:rsidR="00A21985" w:rsidRPr="00A21985" w14:paraId="0072DCDC"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5E12B324"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Sudan</w:t>
            </w:r>
          </w:p>
        </w:tc>
        <w:tc>
          <w:tcPr>
            <w:tcW w:w="1300" w:type="dxa"/>
            <w:tcBorders>
              <w:top w:val="nil"/>
              <w:left w:val="nil"/>
              <w:bottom w:val="single" w:sz="4" w:space="0" w:color="auto"/>
              <w:right w:val="single" w:sz="4" w:space="0" w:color="auto"/>
            </w:tcBorders>
            <w:shd w:val="clear" w:color="auto" w:fill="auto"/>
            <w:vAlign w:val="bottom"/>
            <w:hideMark/>
          </w:tcPr>
          <w:p w14:paraId="0E6F51C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78.4</w:t>
            </w:r>
          </w:p>
        </w:tc>
        <w:tc>
          <w:tcPr>
            <w:tcW w:w="1300" w:type="dxa"/>
            <w:tcBorders>
              <w:top w:val="nil"/>
              <w:left w:val="nil"/>
              <w:bottom w:val="single" w:sz="4" w:space="0" w:color="auto"/>
              <w:right w:val="single" w:sz="4" w:space="0" w:color="auto"/>
            </w:tcBorders>
            <w:shd w:val="clear" w:color="auto" w:fill="auto"/>
            <w:vAlign w:val="bottom"/>
            <w:hideMark/>
          </w:tcPr>
          <w:p w14:paraId="5FA0459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66.9</w:t>
            </w:r>
          </w:p>
        </w:tc>
        <w:tc>
          <w:tcPr>
            <w:tcW w:w="1300" w:type="dxa"/>
            <w:tcBorders>
              <w:top w:val="nil"/>
              <w:left w:val="nil"/>
              <w:bottom w:val="single" w:sz="4" w:space="0" w:color="auto"/>
              <w:right w:val="single" w:sz="4" w:space="0" w:color="auto"/>
            </w:tcBorders>
            <w:shd w:val="clear" w:color="auto" w:fill="auto"/>
            <w:noWrap/>
            <w:vAlign w:val="bottom"/>
            <w:hideMark/>
          </w:tcPr>
          <w:p w14:paraId="229B4C1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-11.5</w:t>
            </w:r>
          </w:p>
        </w:tc>
        <w:tc>
          <w:tcPr>
            <w:tcW w:w="1300" w:type="dxa"/>
            <w:tcBorders>
              <w:top w:val="nil"/>
              <w:left w:val="nil"/>
              <w:bottom w:val="single" w:sz="4" w:space="0" w:color="auto"/>
              <w:right w:val="single" w:sz="4" w:space="0" w:color="auto"/>
            </w:tcBorders>
            <w:shd w:val="clear" w:color="auto" w:fill="auto"/>
            <w:noWrap/>
            <w:vAlign w:val="bottom"/>
            <w:hideMark/>
          </w:tcPr>
          <w:p w14:paraId="3AC3B13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-15%</w:t>
            </w:r>
          </w:p>
        </w:tc>
      </w:tr>
      <w:tr w:rsidR="00A21985" w:rsidRPr="00A21985" w14:paraId="1279E738"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518F8EC8"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Kenya</w:t>
            </w:r>
          </w:p>
        </w:tc>
        <w:tc>
          <w:tcPr>
            <w:tcW w:w="1300" w:type="dxa"/>
            <w:tcBorders>
              <w:top w:val="nil"/>
              <w:left w:val="nil"/>
              <w:bottom w:val="single" w:sz="4" w:space="0" w:color="auto"/>
              <w:right w:val="single" w:sz="4" w:space="0" w:color="auto"/>
            </w:tcBorders>
            <w:shd w:val="clear" w:color="auto" w:fill="auto"/>
            <w:vAlign w:val="bottom"/>
            <w:hideMark/>
          </w:tcPr>
          <w:p w14:paraId="0B65649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64.3</w:t>
            </w:r>
          </w:p>
        </w:tc>
        <w:tc>
          <w:tcPr>
            <w:tcW w:w="1300" w:type="dxa"/>
            <w:tcBorders>
              <w:top w:val="nil"/>
              <w:left w:val="nil"/>
              <w:bottom w:val="single" w:sz="4" w:space="0" w:color="auto"/>
              <w:right w:val="single" w:sz="4" w:space="0" w:color="auto"/>
            </w:tcBorders>
            <w:shd w:val="clear" w:color="auto" w:fill="auto"/>
            <w:vAlign w:val="bottom"/>
            <w:hideMark/>
          </w:tcPr>
          <w:p w14:paraId="4BD133F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56.3</w:t>
            </w:r>
          </w:p>
        </w:tc>
        <w:tc>
          <w:tcPr>
            <w:tcW w:w="1300" w:type="dxa"/>
            <w:tcBorders>
              <w:top w:val="nil"/>
              <w:left w:val="nil"/>
              <w:bottom w:val="single" w:sz="4" w:space="0" w:color="auto"/>
              <w:right w:val="single" w:sz="4" w:space="0" w:color="auto"/>
            </w:tcBorders>
            <w:shd w:val="clear" w:color="auto" w:fill="auto"/>
            <w:noWrap/>
            <w:vAlign w:val="bottom"/>
            <w:hideMark/>
          </w:tcPr>
          <w:p w14:paraId="33C4A57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1A0D7CD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w:t>
            </w:r>
          </w:p>
        </w:tc>
      </w:tr>
      <w:tr w:rsidR="00A21985" w:rsidRPr="00A21985" w14:paraId="060C1E1C"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69A816E6"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Lesotho</w:t>
            </w:r>
          </w:p>
        </w:tc>
        <w:tc>
          <w:tcPr>
            <w:tcW w:w="1300" w:type="dxa"/>
            <w:tcBorders>
              <w:top w:val="nil"/>
              <w:left w:val="nil"/>
              <w:bottom w:val="single" w:sz="4" w:space="0" w:color="auto"/>
              <w:right w:val="single" w:sz="4" w:space="0" w:color="auto"/>
            </w:tcBorders>
            <w:shd w:val="clear" w:color="auto" w:fill="auto"/>
            <w:vAlign w:val="bottom"/>
            <w:hideMark/>
          </w:tcPr>
          <w:p w14:paraId="7083614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72</w:t>
            </w:r>
          </w:p>
        </w:tc>
        <w:tc>
          <w:tcPr>
            <w:tcW w:w="1300" w:type="dxa"/>
            <w:tcBorders>
              <w:top w:val="nil"/>
              <w:left w:val="nil"/>
              <w:bottom w:val="single" w:sz="4" w:space="0" w:color="auto"/>
              <w:right w:val="single" w:sz="4" w:space="0" w:color="auto"/>
            </w:tcBorders>
            <w:shd w:val="clear" w:color="auto" w:fill="auto"/>
            <w:vAlign w:val="bottom"/>
            <w:hideMark/>
          </w:tcPr>
          <w:p w14:paraId="7B38A87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67</w:t>
            </w:r>
          </w:p>
        </w:tc>
        <w:tc>
          <w:tcPr>
            <w:tcW w:w="1300" w:type="dxa"/>
            <w:tcBorders>
              <w:top w:val="nil"/>
              <w:left w:val="nil"/>
              <w:bottom w:val="single" w:sz="4" w:space="0" w:color="auto"/>
              <w:right w:val="single" w:sz="4" w:space="0" w:color="auto"/>
            </w:tcBorders>
            <w:shd w:val="clear" w:color="auto" w:fill="auto"/>
            <w:noWrap/>
            <w:vAlign w:val="bottom"/>
            <w:hideMark/>
          </w:tcPr>
          <w:p w14:paraId="47A3501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14:paraId="5F4570F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w:t>
            </w:r>
          </w:p>
        </w:tc>
      </w:tr>
      <w:tr w:rsidR="00A21985" w:rsidRPr="00A21985" w14:paraId="7A30657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19EBD23E"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Mauritania</w:t>
            </w:r>
          </w:p>
        </w:tc>
        <w:tc>
          <w:tcPr>
            <w:tcW w:w="1300" w:type="dxa"/>
            <w:tcBorders>
              <w:top w:val="nil"/>
              <w:left w:val="nil"/>
              <w:bottom w:val="single" w:sz="4" w:space="0" w:color="auto"/>
              <w:right w:val="single" w:sz="4" w:space="0" w:color="auto"/>
            </w:tcBorders>
            <w:shd w:val="clear" w:color="auto" w:fill="auto"/>
            <w:vAlign w:val="bottom"/>
            <w:hideMark/>
          </w:tcPr>
          <w:p w14:paraId="06ED659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80.3</w:t>
            </w:r>
          </w:p>
        </w:tc>
        <w:tc>
          <w:tcPr>
            <w:tcW w:w="1300" w:type="dxa"/>
            <w:tcBorders>
              <w:top w:val="nil"/>
              <w:left w:val="nil"/>
              <w:bottom w:val="single" w:sz="4" w:space="0" w:color="auto"/>
              <w:right w:val="single" w:sz="4" w:space="0" w:color="auto"/>
            </w:tcBorders>
            <w:shd w:val="clear" w:color="auto" w:fill="auto"/>
            <w:vAlign w:val="bottom"/>
            <w:hideMark/>
          </w:tcPr>
          <w:p w14:paraId="5C5F669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75.4</w:t>
            </w:r>
          </w:p>
        </w:tc>
        <w:tc>
          <w:tcPr>
            <w:tcW w:w="1300" w:type="dxa"/>
            <w:tcBorders>
              <w:top w:val="nil"/>
              <w:left w:val="nil"/>
              <w:bottom w:val="single" w:sz="4" w:space="0" w:color="auto"/>
              <w:right w:val="single" w:sz="4" w:space="0" w:color="auto"/>
            </w:tcBorders>
            <w:shd w:val="clear" w:color="auto" w:fill="auto"/>
            <w:noWrap/>
            <w:vAlign w:val="bottom"/>
            <w:hideMark/>
          </w:tcPr>
          <w:p w14:paraId="52EF77A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-4.9</w:t>
            </w:r>
          </w:p>
        </w:tc>
        <w:tc>
          <w:tcPr>
            <w:tcW w:w="1300" w:type="dxa"/>
            <w:tcBorders>
              <w:top w:val="nil"/>
              <w:left w:val="nil"/>
              <w:bottom w:val="single" w:sz="4" w:space="0" w:color="auto"/>
              <w:right w:val="single" w:sz="4" w:space="0" w:color="auto"/>
            </w:tcBorders>
            <w:shd w:val="clear" w:color="auto" w:fill="auto"/>
            <w:noWrap/>
            <w:vAlign w:val="bottom"/>
            <w:hideMark/>
          </w:tcPr>
          <w:p w14:paraId="47CF63B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w:t>
            </w:r>
          </w:p>
        </w:tc>
      </w:tr>
    </w:tbl>
    <w:p w14:paraId="69C21915" w14:textId="77777777" w:rsidR="00FF3B1B" w:rsidRPr="00A21985" w:rsidRDefault="00FF3B1B" w:rsidP="00FF3B1B">
      <w:pPr>
        <w:spacing w:line="480" w:lineRule="auto"/>
        <w:rPr>
          <w:rFonts w:ascii="Times New Roman" w:hAnsi="Times New Roman"/>
          <w:sz w:val="20"/>
          <w:szCs w:val="20"/>
        </w:rPr>
      </w:pPr>
    </w:p>
    <w:tbl>
      <w:tblPr>
        <w:tblW w:w="6935" w:type="dxa"/>
        <w:tblInd w:w="93" w:type="dxa"/>
        <w:tblLook w:val="04A0" w:firstRow="1" w:lastRow="0" w:firstColumn="1" w:lastColumn="0" w:noHBand="0" w:noVBand="1"/>
      </w:tblPr>
      <w:tblGrid>
        <w:gridCol w:w="1484"/>
        <w:gridCol w:w="1400"/>
        <w:gridCol w:w="1451"/>
        <w:gridCol w:w="1300"/>
        <w:gridCol w:w="1300"/>
      </w:tblGrid>
      <w:tr w:rsidR="00A21985" w:rsidRPr="00A21985" w14:paraId="303E0A47" w14:textId="77777777" w:rsidTr="00A21985">
        <w:trPr>
          <w:trHeight w:val="1700"/>
        </w:trPr>
        <w:tc>
          <w:tcPr>
            <w:tcW w:w="1484"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6765C764" w14:textId="77777777" w:rsidR="00A21985" w:rsidRPr="00A21985" w:rsidRDefault="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Country</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69F35C6" w14:textId="1FB00BF2" w:rsidR="00A21985" w:rsidRPr="00A21985" w:rsidRDefault="00B6243B">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Maternal mortality ratio </w:t>
            </w:r>
            <w:r w:rsidR="00A21985" w:rsidRPr="00A21985">
              <w:rPr>
                <w:rFonts w:ascii="Times New Roman" w:eastAsia="Times New Roman" w:hAnsi="Times New Roman"/>
                <w:b/>
                <w:bCs/>
                <w:color w:val="000000"/>
                <w:sz w:val="20"/>
                <w:szCs w:val="20"/>
              </w:rPr>
              <w:t>per 100,000 live births, 1990--WDI-2011</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64DEBCBA" w14:textId="49CBBD5E" w:rsidR="00A21985" w:rsidRPr="00A21985" w:rsidRDefault="00B6243B">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Maternal mortality ratio per 100,000 live births</w:t>
            </w:r>
            <w:r w:rsidR="00A21985" w:rsidRPr="00A21985">
              <w:rPr>
                <w:rFonts w:ascii="Times New Roman" w:eastAsia="Times New Roman" w:hAnsi="Times New Roman"/>
                <w:b/>
                <w:bCs/>
                <w:color w:val="000000"/>
                <w:sz w:val="20"/>
                <w:szCs w:val="20"/>
              </w:rPr>
              <w:t>, 2008--WDI-2011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FFB1691" w14:textId="77777777" w:rsidR="00A21985" w:rsidRPr="00A21985" w:rsidRDefault="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Decrease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E9DA133" w14:textId="77777777" w:rsidR="00A21985" w:rsidRPr="00A21985" w:rsidRDefault="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 Change</w:t>
            </w:r>
          </w:p>
        </w:tc>
      </w:tr>
      <w:tr w:rsidR="00A21985" w:rsidRPr="00A21985" w14:paraId="7BE0D8F9"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571D1D3C"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Guinea</w:t>
            </w:r>
          </w:p>
        </w:tc>
        <w:tc>
          <w:tcPr>
            <w:tcW w:w="1400" w:type="dxa"/>
            <w:tcBorders>
              <w:top w:val="nil"/>
              <w:left w:val="nil"/>
              <w:bottom w:val="single" w:sz="4" w:space="0" w:color="auto"/>
              <w:right w:val="single" w:sz="4" w:space="0" w:color="auto"/>
            </w:tcBorders>
            <w:shd w:val="clear" w:color="auto" w:fill="auto"/>
            <w:vAlign w:val="bottom"/>
            <w:hideMark/>
          </w:tcPr>
          <w:p w14:paraId="12F75FA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1,200</w:t>
            </w:r>
          </w:p>
        </w:tc>
        <w:tc>
          <w:tcPr>
            <w:tcW w:w="1451" w:type="dxa"/>
            <w:tcBorders>
              <w:top w:val="nil"/>
              <w:left w:val="nil"/>
              <w:bottom w:val="single" w:sz="4" w:space="0" w:color="auto"/>
              <w:right w:val="single" w:sz="4" w:space="0" w:color="auto"/>
            </w:tcBorders>
            <w:shd w:val="clear" w:color="auto" w:fill="auto"/>
            <w:vAlign w:val="bottom"/>
            <w:hideMark/>
          </w:tcPr>
          <w:p w14:paraId="371DC09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680</w:t>
            </w:r>
          </w:p>
        </w:tc>
        <w:tc>
          <w:tcPr>
            <w:tcW w:w="1300" w:type="dxa"/>
            <w:tcBorders>
              <w:top w:val="nil"/>
              <w:left w:val="nil"/>
              <w:bottom w:val="single" w:sz="4" w:space="0" w:color="auto"/>
              <w:right w:val="single" w:sz="4" w:space="0" w:color="auto"/>
            </w:tcBorders>
            <w:shd w:val="clear" w:color="auto" w:fill="auto"/>
            <w:noWrap/>
            <w:vAlign w:val="bottom"/>
            <w:hideMark/>
          </w:tcPr>
          <w:p w14:paraId="0B71634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-520</w:t>
            </w:r>
          </w:p>
        </w:tc>
        <w:tc>
          <w:tcPr>
            <w:tcW w:w="1300" w:type="dxa"/>
            <w:tcBorders>
              <w:top w:val="nil"/>
              <w:left w:val="nil"/>
              <w:bottom w:val="single" w:sz="4" w:space="0" w:color="auto"/>
              <w:right w:val="single" w:sz="4" w:space="0" w:color="auto"/>
            </w:tcBorders>
            <w:shd w:val="clear" w:color="auto" w:fill="auto"/>
            <w:noWrap/>
            <w:vAlign w:val="bottom"/>
            <w:hideMark/>
          </w:tcPr>
          <w:p w14:paraId="17FA642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-43%</w:t>
            </w:r>
          </w:p>
        </w:tc>
      </w:tr>
      <w:tr w:rsidR="00A21985" w:rsidRPr="00A21985" w14:paraId="66EE492F" w14:textId="77777777" w:rsidTr="00A21985">
        <w:trPr>
          <w:trHeight w:val="314"/>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7BF0BA1F"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Mozambique</w:t>
            </w:r>
          </w:p>
        </w:tc>
        <w:tc>
          <w:tcPr>
            <w:tcW w:w="1400" w:type="dxa"/>
            <w:tcBorders>
              <w:top w:val="nil"/>
              <w:left w:val="nil"/>
              <w:bottom w:val="single" w:sz="4" w:space="0" w:color="auto"/>
              <w:right w:val="single" w:sz="4" w:space="0" w:color="auto"/>
            </w:tcBorders>
            <w:shd w:val="clear" w:color="auto" w:fill="auto"/>
            <w:vAlign w:val="bottom"/>
            <w:hideMark/>
          </w:tcPr>
          <w:p w14:paraId="5D21263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1,000</w:t>
            </w:r>
          </w:p>
        </w:tc>
        <w:tc>
          <w:tcPr>
            <w:tcW w:w="1451" w:type="dxa"/>
            <w:tcBorders>
              <w:top w:val="nil"/>
              <w:left w:val="nil"/>
              <w:bottom w:val="single" w:sz="4" w:space="0" w:color="auto"/>
              <w:right w:val="single" w:sz="4" w:space="0" w:color="auto"/>
            </w:tcBorders>
            <w:shd w:val="clear" w:color="auto" w:fill="auto"/>
            <w:vAlign w:val="bottom"/>
            <w:hideMark/>
          </w:tcPr>
          <w:p w14:paraId="5BC47FB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550</w:t>
            </w:r>
          </w:p>
        </w:tc>
        <w:tc>
          <w:tcPr>
            <w:tcW w:w="1300" w:type="dxa"/>
            <w:tcBorders>
              <w:top w:val="nil"/>
              <w:left w:val="nil"/>
              <w:bottom w:val="single" w:sz="4" w:space="0" w:color="auto"/>
              <w:right w:val="single" w:sz="4" w:space="0" w:color="auto"/>
            </w:tcBorders>
            <w:shd w:val="clear" w:color="auto" w:fill="auto"/>
            <w:noWrap/>
            <w:vAlign w:val="bottom"/>
            <w:hideMark/>
          </w:tcPr>
          <w:p w14:paraId="1C64B15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-450</w:t>
            </w:r>
          </w:p>
        </w:tc>
        <w:tc>
          <w:tcPr>
            <w:tcW w:w="1300" w:type="dxa"/>
            <w:tcBorders>
              <w:top w:val="nil"/>
              <w:left w:val="nil"/>
              <w:bottom w:val="single" w:sz="4" w:space="0" w:color="auto"/>
              <w:right w:val="single" w:sz="4" w:space="0" w:color="auto"/>
            </w:tcBorders>
            <w:shd w:val="clear" w:color="auto" w:fill="auto"/>
            <w:noWrap/>
            <w:vAlign w:val="bottom"/>
            <w:hideMark/>
          </w:tcPr>
          <w:p w14:paraId="5DF3A42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-45%</w:t>
            </w:r>
          </w:p>
        </w:tc>
      </w:tr>
      <w:tr w:rsidR="00A21985" w:rsidRPr="00A21985" w14:paraId="024AD4B6"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5E7A6D0F"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Benin</w:t>
            </w:r>
          </w:p>
        </w:tc>
        <w:tc>
          <w:tcPr>
            <w:tcW w:w="1400" w:type="dxa"/>
            <w:tcBorders>
              <w:top w:val="nil"/>
              <w:left w:val="nil"/>
              <w:bottom w:val="single" w:sz="4" w:space="0" w:color="auto"/>
              <w:right w:val="single" w:sz="4" w:space="0" w:color="auto"/>
            </w:tcBorders>
            <w:shd w:val="clear" w:color="auto" w:fill="auto"/>
            <w:vAlign w:val="bottom"/>
            <w:hideMark/>
          </w:tcPr>
          <w:p w14:paraId="19B6C24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790</w:t>
            </w:r>
          </w:p>
        </w:tc>
        <w:tc>
          <w:tcPr>
            <w:tcW w:w="1451" w:type="dxa"/>
            <w:tcBorders>
              <w:top w:val="nil"/>
              <w:left w:val="nil"/>
              <w:bottom w:val="single" w:sz="4" w:space="0" w:color="auto"/>
              <w:right w:val="single" w:sz="4" w:space="0" w:color="auto"/>
            </w:tcBorders>
            <w:shd w:val="clear" w:color="auto" w:fill="auto"/>
            <w:vAlign w:val="bottom"/>
            <w:hideMark/>
          </w:tcPr>
          <w:p w14:paraId="1346D70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410</w:t>
            </w:r>
          </w:p>
        </w:tc>
        <w:tc>
          <w:tcPr>
            <w:tcW w:w="1300" w:type="dxa"/>
            <w:tcBorders>
              <w:top w:val="nil"/>
              <w:left w:val="nil"/>
              <w:bottom w:val="single" w:sz="4" w:space="0" w:color="auto"/>
              <w:right w:val="single" w:sz="4" w:space="0" w:color="auto"/>
            </w:tcBorders>
            <w:shd w:val="clear" w:color="auto" w:fill="auto"/>
            <w:noWrap/>
            <w:vAlign w:val="bottom"/>
            <w:hideMark/>
          </w:tcPr>
          <w:p w14:paraId="1FB345B0" w14:textId="77777777" w:rsidR="00A21985" w:rsidRPr="00A21985" w:rsidRDefault="00A21985" w:rsidP="00A21985">
            <w:pPr>
              <w:ind w:left="57" w:hanging="57"/>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-380</w:t>
            </w:r>
          </w:p>
        </w:tc>
        <w:tc>
          <w:tcPr>
            <w:tcW w:w="1300" w:type="dxa"/>
            <w:tcBorders>
              <w:top w:val="nil"/>
              <w:left w:val="nil"/>
              <w:bottom w:val="single" w:sz="4" w:space="0" w:color="auto"/>
              <w:right w:val="single" w:sz="4" w:space="0" w:color="auto"/>
            </w:tcBorders>
            <w:shd w:val="clear" w:color="auto" w:fill="auto"/>
            <w:noWrap/>
            <w:vAlign w:val="bottom"/>
            <w:hideMark/>
          </w:tcPr>
          <w:p w14:paraId="3B85423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-48%</w:t>
            </w:r>
          </w:p>
        </w:tc>
      </w:tr>
      <w:tr w:rsidR="00A21985" w:rsidRPr="00A21985" w14:paraId="6559B905"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0BCF0696"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Gambia</w:t>
            </w:r>
          </w:p>
        </w:tc>
        <w:tc>
          <w:tcPr>
            <w:tcW w:w="1400" w:type="dxa"/>
            <w:tcBorders>
              <w:top w:val="nil"/>
              <w:left w:val="nil"/>
              <w:bottom w:val="single" w:sz="4" w:space="0" w:color="auto"/>
              <w:right w:val="single" w:sz="4" w:space="0" w:color="auto"/>
            </w:tcBorders>
            <w:shd w:val="clear" w:color="auto" w:fill="auto"/>
            <w:vAlign w:val="bottom"/>
            <w:hideMark/>
          </w:tcPr>
          <w:p w14:paraId="203C726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750</w:t>
            </w:r>
          </w:p>
        </w:tc>
        <w:tc>
          <w:tcPr>
            <w:tcW w:w="1451" w:type="dxa"/>
            <w:tcBorders>
              <w:top w:val="nil"/>
              <w:left w:val="nil"/>
              <w:bottom w:val="single" w:sz="4" w:space="0" w:color="auto"/>
              <w:right w:val="single" w:sz="4" w:space="0" w:color="auto"/>
            </w:tcBorders>
            <w:shd w:val="clear" w:color="auto" w:fill="auto"/>
            <w:vAlign w:val="bottom"/>
            <w:hideMark/>
          </w:tcPr>
          <w:p w14:paraId="49FC9B1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bottom"/>
            <w:hideMark/>
          </w:tcPr>
          <w:p w14:paraId="7AD6A43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-350</w:t>
            </w:r>
          </w:p>
        </w:tc>
        <w:tc>
          <w:tcPr>
            <w:tcW w:w="1300" w:type="dxa"/>
            <w:tcBorders>
              <w:top w:val="nil"/>
              <w:left w:val="nil"/>
              <w:bottom w:val="single" w:sz="4" w:space="0" w:color="auto"/>
              <w:right w:val="single" w:sz="4" w:space="0" w:color="auto"/>
            </w:tcBorders>
            <w:shd w:val="clear" w:color="auto" w:fill="auto"/>
            <w:noWrap/>
            <w:vAlign w:val="bottom"/>
            <w:hideMark/>
          </w:tcPr>
          <w:p w14:paraId="1766FF3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-47%</w:t>
            </w:r>
          </w:p>
        </w:tc>
      </w:tr>
      <w:tr w:rsidR="00A21985" w:rsidRPr="00A21985" w14:paraId="568BC2EB"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3E1BDF11"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Ghana</w:t>
            </w:r>
          </w:p>
        </w:tc>
        <w:tc>
          <w:tcPr>
            <w:tcW w:w="1400" w:type="dxa"/>
            <w:tcBorders>
              <w:top w:val="nil"/>
              <w:left w:val="nil"/>
              <w:bottom w:val="single" w:sz="4" w:space="0" w:color="auto"/>
              <w:right w:val="single" w:sz="4" w:space="0" w:color="auto"/>
            </w:tcBorders>
            <w:shd w:val="clear" w:color="auto" w:fill="auto"/>
            <w:vAlign w:val="bottom"/>
            <w:hideMark/>
          </w:tcPr>
          <w:p w14:paraId="4E49586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630</w:t>
            </w:r>
          </w:p>
        </w:tc>
        <w:tc>
          <w:tcPr>
            <w:tcW w:w="1451" w:type="dxa"/>
            <w:tcBorders>
              <w:top w:val="nil"/>
              <w:left w:val="nil"/>
              <w:bottom w:val="single" w:sz="4" w:space="0" w:color="auto"/>
              <w:right w:val="single" w:sz="4" w:space="0" w:color="auto"/>
            </w:tcBorders>
            <w:shd w:val="clear" w:color="auto" w:fill="auto"/>
            <w:vAlign w:val="bottom"/>
            <w:hideMark/>
          </w:tcPr>
          <w:p w14:paraId="6ED06CD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350</w:t>
            </w:r>
          </w:p>
        </w:tc>
        <w:tc>
          <w:tcPr>
            <w:tcW w:w="1300" w:type="dxa"/>
            <w:tcBorders>
              <w:top w:val="nil"/>
              <w:left w:val="nil"/>
              <w:bottom w:val="single" w:sz="4" w:space="0" w:color="auto"/>
              <w:right w:val="single" w:sz="4" w:space="0" w:color="auto"/>
            </w:tcBorders>
            <w:shd w:val="clear" w:color="auto" w:fill="auto"/>
            <w:noWrap/>
            <w:vAlign w:val="bottom"/>
            <w:hideMark/>
          </w:tcPr>
          <w:p w14:paraId="4CEC214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-280</w:t>
            </w:r>
          </w:p>
        </w:tc>
        <w:tc>
          <w:tcPr>
            <w:tcW w:w="1300" w:type="dxa"/>
            <w:tcBorders>
              <w:top w:val="nil"/>
              <w:left w:val="nil"/>
              <w:bottom w:val="single" w:sz="4" w:space="0" w:color="auto"/>
              <w:right w:val="single" w:sz="4" w:space="0" w:color="auto"/>
            </w:tcBorders>
            <w:shd w:val="clear" w:color="auto" w:fill="auto"/>
            <w:noWrap/>
            <w:vAlign w:val="bottom"/>
            <w:hideMark/>
          </w:tcPr>
          <w:p w14:paraId="19C5DBB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-44%</w:t>
            </w:r>
          </w:p>
        </w:tc>
      </w:tr>
      <w:tr w:rsidR="00A21985" w:rsidRPr="00A21985" w14:paraId="189D27EF"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4AC1825E"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Nigeria</w:t>
            </w:r>
          </w:p>
        </w:tc>
        <w:tc>
          <w:tcPr>
            <w:tcW w:w="1400" w:type="dxa"/>
            <w:tcBorders>
              <w:top w:val="nil"/>
              <w:left w:val="nil"/>
              <w:bottom w:val="single" w:sz="4" w:space="0" w:color="auto"/>
              <w:right w:val="single" w:sz="4" w:space="0" w:color="auto"/>
            </w:tcBorders>
            <w:shd w:val="clear" w:color="auto" w:fill="auto"/>
            <w:vAlign w:val="bottom"/>
            <w:hideMark/>
          </w:tcPr>
          <w:p w14:paraId="7CB3378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1,100</w:t>
            </w:r>
          </w:p>
        </w:tc>
        <w:tc>
          <w:tcPr>
            <w:tcW w:w="1451" w:type="dxa"/>
            <w:tcBorders>
              <w:top w:val="nil"/>
              <w:left w:val="nil"/>
              <w:bottom w:val="single" w:sz="4" w:space="0" w:color="auto"/>
              <w:right w:val="single" w:sz="4" w:space="0" w:color="auto"/>
            </w:tcBorders>
            <w:shd w:val="clear" w:color="auto" w:fill="auto"/>
            <w:vAlign w:val="bottom"/>
            <w:hideMark/>
          </w:tcPr>
          <w:p w14:paraId="0266E92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840</w:t>
            </w:r>
          </w:p>
        </w:tc>
        <w:tc>
          <w:tcPr>
            <w:tcW w:w="1300" w:type="dxa"/>
            <w:tcBorders>
              <w:top w:val="nil"/>
              <w:left w:val="nil"/>
              <w:bottom w:val="single" w:sz="4" w:space="0" w:color="auto"/>
              <w:right w:val="single" w:sz="4" w:space="0" w:color="auto"/>
            </w:tcBorders>
            <w:shd w:val="clear" w:color="auto" w:fill="auto"/>
            <w:noWrap/>
            <w:vAlign w:val="bottom"/>
            <w:hideMark/>
          </w:tcPr>
          <w:p w14:paraId="410C2BC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-260</w:t>
            </w:r>
          </w:p>
        </w:tc>
        <w:tc>
          <w:tcPr>
            <w:tcW w:w="1300" w:type="dxa"/>
            <w:tcBorders>
              <w:top w:val="nil"/>
              <w:left w:val="nil"/>
              <w:bottom w:val="single" w:sz="4" w:space="0" w:color="auto"/>
              <w:right w:val="single" w:sz="4" w:space="0" w:color="auto"/>
            </w:tcBorders>
            <w:shd w:val="clear" w:color="auto" w:fill="auto"/>
            <w:noWrap/>
            <w:vAlign w:val="bottom"/>
            <w:hideMark/>
          </w:tcPr>
          <w:p w14:paraId="0AF94A1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-24%</w:t>
            </w:r>
          </w:p>
        </w:tc>
      </w:tr>
      <w:tr w:rsidR="00A21985" w:rsidRPr="00A21985" w14:paraId="45BFEDEF"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6011B6CB"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Uganda</w:t>
            </w:r>
          </w:p>
        </w:tc>
        <w:tc>
          <w:tcPr>
            <w:tcW w:w="1400" w:type="dxa"/>
            <w:tcBorders>
              <w:top w:val="nil"/>
              <w:left w:val="nil"/>
              <w:bottom w:val="single" w:sz="4" w:space="0" w:color="auto"/>
              <w:right w:val="single" w:sz="4" w:space="0" w:color="auto"/>
            </w:tcBorders>
            <w:shd w:val="clear" w:color="auto" w:fill="auto"/>
            <w:vAlign w:val="bottom"/>
            <w:hideMark/>
          </w:tcPr>
          <w:p w14:paraId="229E61B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670</w:t>
            </w:r>
          </w:p>
        </w:tc>
        <w:tc>
          <w:tcPr>
            <w:tcW w:w="1451" w:type="dxa"/>
            <w:tcBorders>
              <w:top w:val="nil"/>
              <w:left w:val="nil"/>
              <w:bottom w:val="single" w:sz="4" w:space="0" w:color="auto"/>
              <w:right w:val="single" w:sz="4" w:space="0" w:color="auto"/>
            </w:tcBorders>
            <w:shd w:val="clear" w:color="auto" w:fill="auto"/>
            <w:vAlign w:val="bottom"/>
            <w:hideMark/>
          </w:tcPr>
          <w:p w14:paraId="3117666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430</w:t>
            </w:r>
          </w:p>
        </w:tc>
        <w:tc>
          <w:tcPr>
            <w:tcW w:w="1300" w:type="dxa"/>
            <w:tcBorders>
              <w:top w:val="nil"/>
              <w:left w:val="nil"/>
              <w:bottom w:val="single" w:sz="4" w:space="0" w:color="auto"/>
              <w:right w:val="single" w:sz="4" w:space="0" w:color="auto"/>
            </w:tcBorders>
            <w:shd w:val="clear" w:color="auto" w:fill="auto"/>
            <w:noWrap/>
            <w:vAlign w:val="bottom"/>
            <w:hideMark/>
          </w:tcPr>
          <w:p w14:paraId="69C0246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-240</w:t>
            </w:r>
          </w:p>
        </w:tc>
        <w:tc>
          <w:tcPr>
            <w:tcW w:w="1300" w:type="dxa"/>
            <w:tcBorders>
              <w:top w:val="nil"/>
              <w:left w:val="nil"/>
              <w:bottom w:val="single" w:sz="4" w:space="0" w:color="auto"/>
              <w:right w:val="single" w:sz="4" w:space="0" w:color="auto"/>
            </w:tcBorders>
            <w:shd w:val="clear" w:color="auto" w:fill="auto"/>
            <w:noWrap/>
            <w:vAlign w:val="bottom"/>
            <w:hideMark/>
          </w:tcPr>
          <w:p w14:paraId="0B40887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-36%</w:t>
            </w:r>
          </w:p>
        </w:tc>
      </w:tr>
      <w:tr w:rsidR="00A21985" w:rsidRPr="00A21985" w14:paraId="5D743E18"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6F17C635"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Mauritania</w:t>
            </w:r>
          </w:p>
        </w:tc>
        <w:tc>
          <w:tcPr>
            <w:tcW w:w="1400" w:type="dxa"/>
            <w:tcBorders>
              <w:top w:val="nil"/>
              <w:left w:val="nil"/>
              <w:bottom w:val="single" w:sz="4" w:space="0" w:color="auto"/>
              <w:right w:val="single" w:sz="4" w:space="0" w:color="auto"/>
            </w:tcBorders>
            <w:shd w:val="clear" w:color="auto" w:fill="auto"/>
            <w:vAlign w:val="bottom"/>
            <w:hideMark/>
          </w:tcPr>
          <w:p w14:paraId="7E1BDE0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780</w:t>
            </w:r>
          </w:p>
        </w:tc>
        <w:tc>
          <w:tcPr>
            <w:tcW w:w="1451" w:type="dxa"/>
            <w:tcBorders>
              <w:top w:val="nil"/>
              <w:left w:val="nil"/>
              <w:bottom w:val="single" w:sz="4" w:space="0" w:color="auto"/>
              <w:right w:val="single" w:sz="4" w:space="0" w:color="auto"/>
            </w:tcBorders>
            <w:shd w:val="clear" w:color="auto" w:fill="auto"/>
            <w:vAlign w:val="bottom"/>
            <w:hideMark/>
          </w:tcPr>
          <w:p w14:paraId="0E21BFA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550</w:t>
            </w:r>
          </w:p>
        </w:tc>
        <w:tc>
          <w:tcPr>
            <w:tcW w:w="1300" w:type="dxa"/>
            <w:tcBorders>
              <w:top w:val="nil"/>
              <w:left w:val="nil"/>
              <w:bottom w:val="single" w:sz="4" w:space="0" w:color="auto"/>
              <w:right w:val="single" w:sz="4" w:space="0" w:color="auto"/>
            </w:tcBorders>
            <w:shd w:val="clear" w:color="auto" w:fill="auto"/>
            <w:noWrap/>
            <w:vAlign w:val="bottom"/>
            <w:hideMark/>
          </w:tcPr>
          <w:p w14:paraId="3FC184E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-230</w:t>
            </w:r>
          </w:p>
        </w:tc>
        <w:tc>
          <w:tcPr>
            <w:tcW w:w="1300" w:type="dxa"/>
            <w:tcBorders>
              <w:top w:val="nil"/>
              <w:left w:val="nil"/>
              <w:bottom w:val="single" w:sz="4" w:space="0" w:color="auto"/>
              <w:right w:val="single" w:sz="4" w:space="0" w:color="auto"/>
            </w:tcBorders>
            <w:shd w:val="clear" w:color="auto" w:fill="auto"/>
            <w:noWrap/>
            <w:vAlign w:val="bottom"/>
            <w:hideMark/>
          </w:tcPr>
          <w:p w14:paraId="7E13ECE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-29%</w:t>
            </w:r>
          </w:p>
        </w:tc>
      </w:tr>
      <w:tr w:rsidR="00A21985" w:rsidRPr="00A21985" w14:paraId="53998E69"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4F7F1960"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Comoros</w:t>
            </w:r>
          </w:p>
        </w:tc>
        <w:tc>
          <w:tcPr>
            <w:tcW w:w="1400" w:type="dxa"/>
            <w:tcBorders>
              <w:top w:val="nil"/>
              <w:left w:val="nil"/>
              <w:bottom w:val="single" w:sz="4" w:space="0" w:color="auto"/>
              <w:right w:val="single" w:sz="4" w:space="0" w:color="auto"/>
            </w:tcBorders>
            <w:shd w:val="clear" w:color="auto" w:fill="auto"/>
            <w:vAlign w:val="bottom"/>
            <w:hideMark/>
          </w:tcPr>
          <w:p w14:paraId="59FD5EF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530</w:t>
            </w:r>
          </w:p>
        </w:tc>
        <w:tc>
          <w:tcPr>
            <w:tcW w:w="1451" w:type="dxa"/>
            <w:tcBorders>
              <w:top w:val="nil"/>
              <w:left w:val="nil"/>
              <w:bottom w:val="single" w:sz="4" w:space="0" w:color="auto"/>
              <w:right w:val="single" w:sz="4" w:space="0" w:color="auto"/>
            </w:tcBorders>
            <w:shd w:val="clear" w:color="auto" w:fill="auto"/>
            <w:vAlign w:val="bottom"/>
            <w:hideMark/>
          </w:tcPr>
          <w:p w14:paraId="6831744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340</w:t>
            </w:r>
          </w:p>
        </w:tc>
        <w:tc>
          <w:tcPr>
            <w:tcW w:w="1300" w:type="dxa"/>
            <w:tcBorders>
              <w:top w:val="nil"/>
              <w:left w:val="nil"/>
              <w:bottom w:val="single" w:sz="4" w:space="0" w:color="auto"/>
              <w:right w:val="single" w:sz="4" w:space="0" w:color="auto"/>
            </w:tcBorders>
            <w:shd w:val="clear" w:color="auto" w:fill="auto"/>
            <w:noWrap/>
            <w:vAlign w:val="bottom"/>
            <w:hideMark/>
          </w:tcPr>
          <w:p w14:paraId="4C46073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-190</w:t>
            </w:r>
          </w:p>
        </w:tc>
        <w:tc>
          <w:tcPr>
            <w:tcW w:w="1300" w:type="dxa"/>
            <w:tcBorders>
              <w:top w:val="nil"/>
              <w:left w:val="nil"/>
              <w:bottom w:val="single" w:sz="4" w:space="0" w:color="auto"/>
              <w:right w:val="single" w:sz="4" w:space="0" w:color="auto"/>
            </w:tcBorders>
            <w:shd w:val="clear" w:color="auto" w:fill="auto"/>
            <w:noWrap/>
            <w:vAlign w:val="bottom"/>
            <w:hideMark/>
          </w:tcPr>
          <w:p w14:paraId="358F401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-36%</w:t>
            </w:r>
          </w:p>
        </w:tc>
      </w:tr>
      <w:tr w:rsidR="00A21985" w:rsidRPr="00A21985" w14:paraId="2A430DFC"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000000" w:fill="BFBFBF"/>
            <w:vAlign w:val="bottom"/>
            <w:hideMark/>
          </w:tcPr>
          <w:p w14:paraId="44F941DD" w14:textId="77777777" w:rsidR="00A21985" w:rsidRPr="00A21985" w:rsidRDefault="00A21985">
            <w:pP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Tanzania</w:t>
            </w:r>
          </w:p>
        </w:tc>
        <w:tc>
          <w:tcPr>
            <w:tcW w:w="1400" w:type="dxa"/>
            <w:tcBorders>
              <w:top w:val="nil"/>
              <w:left w:val="nil"/>
              <w:bottom w:val="single" w:sz="4" w:space="0" w:color="auto"/>
              <w:right w:val="single" w:sz="4" w:space="0" w:color="auto"/>
            </w:tcBorders>
            <w:shd w:val="clear" w:color="000000" w:fill="BFBFBF"/>
            <w:vAlign w:val="bottom"/>
            <w:hideMark/>
          </w:tcPr>
          <w:p w14:paraId="29608E75"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880</w:t>
            </w:r>
          </w:p>
        </w:tc>
        <w:tc>
          <w:tcPr>
            <w:tcW w:w="1451" w:type="dxa"/>
            <w:tcBorders>
              <w:top w:val="nil"/>
              <w:left w:val="nil"/>
              <w:bottom w:val="single" w:sz="4" w:space="0" w:color="auto"/>
              <w:right w:val="single" w:sz="4" w:space="0" w:color="auto"/>
            </w:tcBorders>
            <w:shd w:val="clear" w:color="000000" w:fill="BFBFBF"/>
            <w:vAlign w:val="bottom"/>
            <w:hideMark/>
          </w:tcPr>
          <w:p w14:paraId="7845E9CE"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790</w:t>
            </w:r>
          </w:p>
        </w:tc>
        <w:tc>
          <w:tcPr>
            <w:tcW w:w="1300" w:type="dxa"/>
            <w:tcBorders>
              <w:top w:val="nil"/>
              <w:left w:val="nil"/>
              <w:bottom w:val="single" w:sz="4" w:space="0" w:color="auto"/>
              <w:right w:val="single" w:sz="4" w:space="0" w:color="auto"/>
            </w:tcBorders>
            <w:shd w:val="clear" w:color="000000" w:fill="BFBFBF"/>
            <w:noWrap/>
            <w:vAlign w:val="bottom"/>
            <w:hideMark/>
          </w:tcPr>
          <w:p w14:paraId="2D2772BB"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-90</w:t>
            </w:r>
          </w:p>
        </w:tc>
        <w:tc>
          <w:tcPr>
            <w:tcW w:w="1300" w:type="dxa"/>
            <w:tcBorders>
              <w:top w:val="nil"/>
              <w:left w:val="nil"/>
              <w:bottom w:val="single" w:sz="4" w:space="0" w:color="auto"/>
              <w:right w:val="single" w:sz="4" w:space="0" w:color="auto"/>
            </w:tcBorders>
            <w:shd w:val="clear" w:color="000000" w:fill="BFBFBF"/>
            <w:noWrap/>
            <w:vAlign w:val="bottom"/>
            <w:hideMark/>
          </w:tcPr>
          <w:p w14:paraId="5D69432D"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-10%</w:t>
            </w:r>
          </w:p>
        </w:tc>
      </w:tr>
      <w:tr w:rsidR="00A21985" w:rsidRPr="00A21985" w14:paraId="4CF3E36A"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697C40F4"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Sudan</w:t>
            </w:r>
          </w:p>
        </w:tc>
        <w:tc>
          <w:tcPr>
            <w:tcW w:w="1400" w:type="dxa"/>
            <w:tcBorders>
              <w:top w:val="nil"/>
              <w:left w:val="nil"/>
              <w:bottom w:val="single" w:sz="4" w:space="0" w:color="auto"/>
              <w:right w:val="single" w:sz="4" w:space="0" w:color="auto"/>
            </w:tcBorders>
            <w:shd w:val="clear" w:color="auto" w:fill="auto"/>
            <w:vAlign w:val="bottom"/>
            <w:hideMark/>
          </w:tcPr>
          <w:p w14:paraId="5ED4CA9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830</w:t>
            </w:r>
          </w:p>
        </w:tc>
        <w:tc>
          <w:tcPr>
            <w:tcW w:w="1451" w:type="dxa"/>
            <w:tcBorders>
              <w:top w:val="nil"/>
              <w:left w:val="nil"/>
              <w:bottom w:val="single" w:sz="4" w:space="0" w:color="auto"/>
              <w:right w:val="single" w:sz="4" w:space="0" w:color="auto"/>
            </w:tcBorders>
            <w:shd w:val="clear" w:color="auto" w:fill="auto"/>
            <w:vAlign w:val="bottom"/>
            <w:hideMark/>
          </w:tcPr>
          <w:p w14:paraId="246E2AE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750</w:t>
            </w:r>
          </w:p>
        </w:tc>
        <w:tc>
          <w:tcPr>
            <w:tcW w:w="1300" w:type="dxa"/>
            <w:tcBorders>
              <w:top w:val="nil"/>
              <w:left w:val="nil"/>
              <w:bottom w:val="single" w:sz="4" w:space="0" w:color="auto"/>
              <w:right w:val="single" w:sz="4" w:space="0" w:color="auto"/>
            </w:tcBorders>
            <w:shd w:val="clear" w:color="auto" w:fill="auto"/>
            <w:noWrap/>
            <w:vAlign w:val="bottom"/>
            <w:hideMark/>
          </w:tcPr>
          <w:p w14:paraId="316FA98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-80</w:t>
            </w:r>
          </w:p>
        </w:tc>
        <w:tc>
          <w:tcPr>
            <w:tcW w:w="1300" w:type="dxa"/>
            <w:tcBorders>
              <w:top w:val="nil"/>
              <w:left w:val="nil"/>
              <w:bottom w:val="single" w:sz="4" w:space="0" w:color="auto"/>
              <w:right w:val="single" w:sz="4" w:space="0" w:color="auto"/>
            </w:tcBorders>
            <w:shd w:val="clear" w:color="auto" w:fill="auto"/>
            <w:noWrap/>
            <w:vAlign w:val="bottom"/>
            <w:hideMark/>
          </w:tcPr>
          <w:p w14:paraId="23C80EF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-10%</w:t>
            </w:r>
          </w:p>
        </w:tc>
      </w:tr>
      <w:tr w:rsidR="00A21985" w:rsidRPr="00A21985" w14:paraId="76C41FFE"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43683BBD"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Zambia</w:t>
            </w:r>
          </w:p>
        </w:tc>
        <w:tc>
          <w:tcPr>
            <w:tcW w:w="1400" w:type="dxa"/>
            <w:tcBorders>
              <w:top w:val="nil"/>
              <w:left w:val="nil"/>
              <w:bottom w:val="single" w:sz="4" w:space="0" w:color="auto"/>
              <w:right w:val="single" w:sz="4" w:space="0" w:color="auto"/>
            </w:tcBorders>
            <w:shd w:val="clear" w:color="auto" w:fill="auto"/>
            <w:vAlign w:val="bottom"/>
            <w:hideMark/>
          </w:tcPr>
          <w:p w14:paraId="10C8A08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390</w:t>
            </w:r>
          </w:p>
        </w:tc>
        <w:tc>
          <w:tcPr>
            <w:tcW w:w="1451" w:type="dxa"/>
            <w:tcBorders>
              <w:top w:val="nil"/>
              <w:left w:val="nil"/>
              <w:bottom w:val="single" w:sz="4" w:space="0" w:color="auto"/>
              <w:right w:val="single" w:sz="4" w:space="0" w:color="auto"/>
            </w:tcBorders>
            <w:shd w:val="clear" w:color="auto" w:fill="auto"/>
            <w:vAlign w:val="bottom"/>
            <w:hideMark/>
          </w:tcPr>
          <w:p w14:paraId="7BC2E68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470</w:t>
            </w:r>
          </w:p>
        </w:tc>
        <w:tc>
          <w:tcPr>
            <w:tcW w:w="1300" w:type="dxa"/>
            <w:tcBorders>
              <w:top w:val="nil"/>
              <w:left w:val="nil"/>
              <w:bottom w:val="single" w:sz="4" w:space="0" w:color="auto"/>
              <w:right w:val="single" w:sz="4" w:space="0" w:color="auto"/>
            </w:tcBorders>
            <w:shd w:val="clear" w:color="auto" w:fill="auto"/>
            <w:noWrap/>
            <w:vAlign w:val="bottom"/>
            <w:hideMark/>
          </w:tcPr>
          <w:p w14:paraId="7F11DB0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80</w:t>
            </w:r>
          </w:p>
        </w:tc>
        <w:tc>
          <w:tcPr>
            <w:tcW w:w="1300" w:type="dxa"/>
            <w:tcBorders>
              <w:top w:val="nil"/>
              <w:left w:val="nil"/>
              <w:bottom w:val="single" w:sz="4" w:space="0" w:color="auto"/>
              <w:right w:val="single" w:sz="4" w:space="0" w:color="auto"/>
            </w:tcBorders>
            <w:shd w:val="clear" w:color="auto" w:fill="auto"/>
            <w:noWrap/>
            <w:vAlign w:val="bottom"/>
            <w:hideMark/>
          </w:tcPr>
          <w:p w14:paraId="6B0D42A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21%</w:t>
            </w:r>
          </w:p>
        </w:tc>
      </w:tr>
      <w:tr w:rsidR="00A21985" w:rsidRPr="00A21985" w14:paraId="0B14980D"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5D0C4D2E"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Kenya</w:t>
            </w:r>
          </w:p>
        </w:tc>
        <w:tc>
          <w:tcPr>
            <w:tcW w:w="1400" w:type="dxa"/>
            <w:tcBorders>
              <w:top w:val="nil"/>
              <w:left w:val="nil"/>
              <w:bottom w:val="single" w:sz="4" w:space="0" w:color="auto"/>
              <w:right w:val="single" w:sz="4" w:space="0" w:color="auto"/>
            </w:tcBorders>
            <w:shd w:val="clear" w:color="auto" w:fill="auto"/>
            <w:vAlign w:val="bottom"/>
            <w:hideMark/>
          </w:tcPr>
          <w:p w14:paraId="3BF9CBE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380</w:t>
            </w:r>
          </w:p>
        </w:tc>
        <w:tc>
          <w:tcPr>
            <w:tcW w:w="1451" w:type="dxa"/>
            <w:tcBorders>
              <w:top w:val="nil"/>
              <w:left w:val="nil"/>
              <w:bottom w:val="single" w:sz="4" w:space="0" w:color="auto"/>
              <w:right w:val="single" w:sz="4" w:space="0" w:color="auto"/>
            </w:tcBorders>
            <w:shd w:val="clear" w:color="auto" w:fill="auto"/>
            <w:vAlign w:val="bottom"/>
            <w:hideMark/>
          </w:tcPr>
          <w:p w14:paraId="79114AB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530</w:t>
            </w:r>
          </w:p>
        </w:tc>
        <w:tc>
          <w:tcPr>
            <w:tcW w:w="1300" w:type="dxa"/>
            <w:tcBorders>
              <w:top w:val="nil"/>
              <w:left w:val="nil"/>
              <w:bottom w:val="single" w:sz="4" w:space="0" w:color="auto"/>
              <w:right w:val="single" w:sz="4" w:space="0" w:color="auto"/>
            </w:tcBorders>
            <w:shd w:val="clear" w:color="auto" w:fill="auto"/>
            <w:noWrap/>
            <w:vAlign w:val="bottom"/>
            <w:hideMark/>
          </w:tcPr>
          <w:p w14:paraId="276C45D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bottom"/>
            <w:hideMark/>
          </w:tcPr>
          <w:p w14:paraId="7FC0309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39%</w:t>
            </w:r>
          </w:p>
        </w:tc>
      </w:tr>
      <w:tr w:rsidR="00A21985" w:rsidRPr="00A21985" w14:paraId="25E9F307" w14:textId="77777777" w:rsidTr="00A21985">
        <w:trPr>
          <w:trHeight w:val="300"/>
        </w:trPr>
        <w:tc>
          <w:tcPr>
            <w:tcW w:w="1484" w:type="dxa"/>
            <w:tcBorders>
              <w:top w:val="nil"/>
              <w:left w:val="single" w:sz="4" w:space="0" w:color="000000"/>
              <w:bottom w:val="single" w:sz="4" w:space="0" w:color="auto"/>
              <w:right w:val="single" w:sz="4" w:space="0" w:color="auto"/>
            </w:tcBorders>
            <w:shd w:val="clear" w:color="auto" w:fill="auto"/>
            <w:vAlign w:val="bottom"/>
            <w:hideMark/>
          </w:tcPr>
          <w:p w14:paraId="3019EEFC" w14:textId="77777777" w:rsidR="00A21985" w:rsidRPr="00A21985" w:rsidRDefault="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Lesotho</w:t>
            </w:r>
          </w:p>
        </w:tc>
        <w:tc>
          <w:tcPr>
            <w:tcW w:w="1400" w:type="dxa"/>
            <w:tcBorders>
              <w:top w:val="nil"/>
              <w:left w:val="nil"/>
              <w:bottom w:val="single" w:sz="4" w:space="0" w:color="auto"/>
              <w:right w:val="single" w:sz="4" w:space="0" w:color="auto"/>
            </w:tcBorders>
            <w:shd w:val="clear" w:color="auto" w:fill="auto"/>
            <w:vAlign w:val="bottom"/>
            <w:hideMark/>
          </w:tcPr>
          <w:p w14:paraId="6DF1FF3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370</w:t>
            </w:r>
          </w:p>
        </w:tc>
        <w:tc>
          <w:tcPr>
            <w:tcW w:w="1451" w:type="dxa"/>
            <w:tcBorders>
              <w:top w:val="nil"/>
              <w:left w:val="nil"/>
              <w:bottom w:val="single" w:sz="4" w:space="0" w:color="auto"/>
              <w:right w:val="single" w:sz="4" w:space="0" w:color="auto"/>
            </w:tcBorders>
            <w:shd w:val="clear" w:color="auto" w:fill="auto"/>
            <w:vAlign w:val="bottom"/>
            <w:hideMark/>
          </w:tcPr>
          <w:p w14:paraId="77D9516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530</w:t>
            </w:r>
          </w:p>
        </w:tc>
        <w:tc>
          <w:tcPr>
            <w:tcW w:w="1300" w:type="dxa"/>
            <w:tcBorders>
              <w:top w:val="nil"/>
              <w:left w:val="nil"/>
              <w:bottom w:val="single" w:sz="4" w:space="0" w:color="auto"/>
              <w:right w:val="single" w:sz="4" w:space="0" w:color="auto"/>
            </w:tcBorders>
            <w:shd w:val="clear" w:color="auto" w:fill="auto"/>
            <w:noWrap/>
            <w:vAlign w:val="bottom"/>
            <w:hideMark/>
          </w:tcPr>
          <w:p w14:paraId="6715981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160</w:t>
            </w:r>
          </w:p>
        </w:tc>
        <w:tc>
          <w:tcPr>
            <w:tcW w:w="1300" w:type="dxa"/>
            <w:tcBorders>
              <w:top w:val="nil"/>
              <w:left w:val="nil"/>
              <w:bottom w:val="single" w:sz="4" w:space="0" w:color="auto"/>
              <w:right w:val="single" w:sz="4" w:space="0" w:color="auto"/>
            </w:tcBorders>
            <w:shd w:val="clear" w:color="auto" w:fill="auto"/>
            <w:noWrap/>
            <w:vAlign w:val="bottom"/>
            <w:hideMark/>
          </w:tcPr>
          <w:p w14:paraId="42788DE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43%</w:t>
            </w:r>
          </w:p>
        </w:tc>
      </w:tr>
    </w:tbl>
    <w:p w14:paraId="4DF6795D" w14:textId="77777777" w:rsidR="00FD4036" w:rsidRDefault="00FD4036" w:rsidP="00B3545A">
      <w:pPr>
        <w:rPr>
          <w:rFonts w:ascii="Times New Roman" w:hAnsi="Times New Roman"/>
          <w:sz w:val="20"/>
          <w:szCs w:val="20"/>
        </w:rPr>
      </w:pPr>
    </w:p>
    <w:p w14:paraId="16C984CB" w14:textId="77777777" w:rsidR="00B6243B" w:rsidRPr="00A21985" w:rsidRDefault="00B6243B" w:rsidP="00B3545A">
      <w:pPr>
        <w:rPr>
          <w:rFonts w:ascii="Times New Roman" w:hAnsi="Times New Roman"/>
          <w:sz w:val="20"/>
          <w:szCs w:val="20"/>
        </w:rPr>
      </w:pPr>
    </w:p>
    <w:tbl>
      <w:tblPr>
        <w:tblW w:w="6500" w:type="dxa"/>
        <w:tblInd w:w="93" w:type="dxa"/>
        <w:tblLook w:val="04A0" w:firstRow="1" w:lastRow="0" w:firstColumn="1" w:lastColumn="0" w:noHBand="0" w:noVBand="1"/>
      </w:tblPr>
      <w:tblGrid>
        <w:gridCol w:w="1300"/>
        <w:gridCol w:w="1300"/>
        <w:gridCol w:w="1300"/>
        <w:gridCol w:w="1300"/>
        <w:gridCol w:w="1300"/>
      </w:tblGrid>
      <w:tr w:rsidR="00A21985" w:rsidRPr="00A21985" w14:paraId="6B097D5F" w14:textId="77777777" w:rsidTr="00E44ADB">
        <w:trPr>
          <w:trHeight w:val="1601"/>
        </w:trPr>
        <w:tc>
          <w:tcPr>
            <w:tcW w:w="1300"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D06B4F0"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Country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5581B07"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HIV prevalence total (% ages 15-49), 2000--UNAIDS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011AC17"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HIV prevalence total (% ages 15-49), 2009--UNAIDS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103D250"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Decrease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A80661"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 Change</w:t>
            </w:r>
          </w:p>
        </w:tc>
      </w:tr>
      <w:tr w:rsidR="00A21985" w:rsidRPr="00A21985" w14:paraId="35F76BC5"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661B8B73"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Kenya</w:t>
            </w:r>
          </w:p>
        </w:tc>
        <w:tc>
          <w:tcPr>
            <w:tcW w:w="1300" w:type="dxa"/>
            <w:tcBorders>
              <w:top w:val="nil"/>
              <w:left w:val="nil"/>
              <w:bottom w:val="single" w:sz="4" w:space="0" w:color="auto"/>
              <w:right w:val="single" w:sz="4" w:space="0" w:color="auto"/>
            </w:tcBorders>
            <w:shd w:val="clear" w:color="auto" w:fill="auto"/>
            <w:vAlign w:val="bottom"/>
            <w:hideMark/>
          </w:tcPr>
          <w:p w14:paraId="49C1AC9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9</w:t>
            </w:r>
          </w:p>
        </w:tc>
        <w:tc>
          <w:tcPr>
            <w:tcW w:w="1300" w:type="dxa"/>
            <w:tcBorders>
              <w:top w:val="nil"/>
              <w:left w:val="nil"/>
              <w:bottom w:val="single" w:sz="4" w:space="0" w:color="auto"/>
              <w:right w:val="single" w:sz="4" w:space="0" w:color="auto"/>
            </w:tcBorders>
            <w:shd w:val="clear" w:color="auto" w:fill="auto"/>
            <w:vAlign w:val="bottom"/>
            <w:hideMark/>
          </w:tcPr>
          <w:p w14:paraId="260719B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6.3</w:t>
            </w:r>
          </w:p>
        </w:tc>
        <w:tc>
          <w:tcPr>
            <w:tcW w:w="1300" w:type="dxa"/>
            <w:tcBorders>
              <w:top w:val="nil"/>
              <w:left w:val="nil"/>
              <w:bottom w:val="single" w:sz="4" w:space="0" w:color="auto"/>
              <w:right w:val="single" w:sz="4" w:space="0" w:color="auto"/>
            </w:tcBorders>
            <w:shd w:val="clear" w:color="auto" w:fill="auto"/>
            <w:noWrap/>
            <w:vAlign w:val="bottom"/>
            <w:hideMark/>
          </w:tcPr>
          <w:p w14:paraId="79713FF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08AED39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-30%</w:t>
            </w:r>
          </w:p>
        </w:tc>
      </w:tr>
      <w:tr w:rsidR="00A21985" w:rsidRPr="00A21985" w14:paraId="1066CBD0"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6FEE3556"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Guinea</w:t>
            </w:r>
          </w:p>
        </w:tc>
        <w:tc>
          <w:tcPr>
            <w:tcW w:w="1300" w:type="dxa"/>
            <w:tcBorders>
              <w:top w:val="nil"/>
              <w:left w:val="nil"/>
              <w:bottom w:val="single" w:sz="4" w:space="0" w:color="auto"/>
              <w:right w:val="single" w:sz="4" w:space="0" w:color="auto"/>
            </w:tcBorders>
            <w:shd w:val="clear" w:color="auto" w:fill="auto"/>
            <w:vAlign w:val="bottom"/>
            <w:hideMark/>
          </w:tcPr>
          <w:p w14:paraId="20811D1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1.7</w:t>
            </w:r>
          </w:p>
        </w:tc>
        <w:tc>
          <w:tcPr>
            <w:tcW w:w="1300" w:type="dxa"/>
            <w:tcBorders>
              <w:top w:val="nil"/>
              <w:left w:val="nil"/>
              <w:bottom w:val="single" w:sz="4" w:space="0" w:color="auto"/>
              <w:right w:val="single" w:sz="4" w:space="0" w:color="auto"/>
            </w:tcBorders>
            <w:shd w:val="clear" w:color="auto" w:fill="auto"/>
            <w:vAlign w:val="bottom"/>
            <w:hideMark/>
          </w:tcPr>
          <w:p w14:paraId="144647D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673EAAF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-0.4</w:t>
            </w:r>
          </w:p>
        </w:tc>
        <w:tc>
          <w:tcPr>
            <w:tcW w:w="1300" w:type="dxa"/>
            <w:tcBorders>
              <w:top w:val="nil"/>
              <w:left w:val="nil"/>
              <w:bottom w:val="single" w:sz="4" w:space="0" w:color="auto"/>
              <w:right w:val="single" w:sz="4" w:space="0" w:color="auto"/>
            </w:tcBorders>
            <w:shd w:val="clear" w:color="auto" w:fill="auto"/>
            <w:noWrap/>
            <w:vAlign w:val="bottom"/>
            <w:hideMark/>
          </w:tcPr>
          <w:p w14:paraId="6A31B7D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-24%</w:t>
            </w:r>
          </w:p>
        </w:tc>
      </w:tr>
      <w:tr w:rsidR="00A21985" w:rsidRPr="00A21985" w14:paraId="0B172D79"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000000" w:fill="BFBFBF"/>
            <w:vAlign w:val="bottom"/>
            <w:hideMark/>
          </w:tcPr>
          <w:p w14:paraId="52A5A515" w14:textId="77777777" w:rsidR="00A21985" w:rsidRPr="00A21985" w:rsidRDefault="00A21985" w:rsidP="00A21985">
            <w:pP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Tanzania</w:t>
            </w:r>
          </w:p>
        </w:tc>
        <w:tc>
          <w:tcPr>
            <w:tcW w:w="1300" w:type="dxa"/>
            <w:tcBorders>
              <w:top w:val="nil"/>
              <w:left w:val="nil"/>
              <w:bottom w:val="single" w:sz="4" w:space="0" w:color="auto"/>
              <w:right w:val="single" w:sz="4" w:space="0" w:color="auto"/>
            </w:tcBorders>
            <w:shd w:val="clear" w:color="000000" w:fill="BFBFBF"/>
            <w:vAlign w:val="bottom"/>
            <w:hideMark/>
          </w:tcPr>
          <w:p w14:paraId="37BAEB26"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7.3</w:t>
            </w:r>
          </w:p>
        </w:tc>
        <w:tc>
          <w:tcPr>
            <w:tcW w:w="1300" w:type="dxa"/>
            <w:tcBorders>
              <w:top w:val="nil"/>
              <w:left w:val="nil"/>
              <w:bottom w:val="single" w:sz="4" w:space="0" w:color="auto"/>
              <w:right w:val="single" w:sz="4" w:space="0" w:color="auto"/>
            </w:tcBorders>
            <w:shd w:val="clear" w:color="000000" w:fill="BFBFBF"/>
            <w:vAlign w:val="bottom"/>
            <w:hideMark/>
          </w:tcPr>
          <w:p w14:paraId="18DBE673"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5.6</w:t>
            </w:r>
          </w:p>
        </w:tc>
        <w:tc>
          <w:tcPr>
            <w:tcW w:w="1300" w:type="dxa"/>
            <w:tcBorders>
              <w:top w:val="nil"/>
              <w:left w:val="nil"/>
              <w:bottom w:val="single" w:sz="4" w:space="0" w:color="auto"/>
              <w:right w:val="single" w:sz="4" w:space="0" w:color="auto"/>
            </w:tcBorders>
            <w:shd w:val="clear" w:color="000000" w:fill="BFBFBF"/>
            <w:noWrap/>
            <w:vAlign w:val="bottom"/>
            <w:hideMark/>
          </w:tcPr>
          <w:p w14:paraId="472494DB"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-1.7</w:t>
            </w:r>
          </w:p>
        </w:tc>
        <w:tc>
          <w:tcPr>
            <w:tcW w:w="1300" w:type="dxa"/>
            <w:tcBorders>
              <w:top w:val="nil"/>
              <w:left w:val="nil"/>
              <w:bottom w:val="single" w:sz="4" w:space="0" w:color="auto"/>
              <w:right w:val="single" w:sz="4" w:space="0" w:color="auto"/>
            </w:tcBorders>
            <w:shd w:val="clear" w:color="000000" w:fill="BFBFBF"/>
            <w:noWrap/>
            <w:vAlign w:val="bottom"/>
            <w:hideMark/>
          </w:tcPr>
          <w:p w14:paraId="616F6F8C"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-23%</w:t>
            </w:r>
          </w:p>
        </w:tc>
      </w:tr>
      <w:tr w:rsidR="00A21985" w:rsidRPr="00A21985" w14:paraId="48DA8E82"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133825BF"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Ghana</w:t>
            </w:r>
          </w:p>
        </w:tc>
        <w:tc>
          <w:tcPr>
            <w:tcW w:w="1300" w:type="dxa"/>
            <w:tcBorders>
              <w:top w:val="nil"/>
              <w:left w:val="nil"/>
              <w:bottom w:val="single" w:sz="4" w:space="0" w:color="auto"/>
              <w:right w:val="single" w:sz="4" w:space="0" w:color="auto"/>
            </w:tcBorders>
            <w:shd w:val="clear" w:color="auto" w:fill="auto"/>
            <w:vAlign w:val="bottom"/>
            <w:hideMark/>
          </w:tcPr>
          <w:p w14:paraId="6C0CB8F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2.3</w:t>
            </w:r>
          </w:p>
        </w:tc>
        <w:tc>
          <w:tcPr>
            <w:tcW w:w="1300" w:type="dxa"/>
            <w:tcBorders>
              <w:top w:val="nil"/>
              <w:left w:val="nil"/>
              <w:bottom w:val="single" w:sz="4" w:space="0" w:color="auto"/>
              <w:right w:val="single" w:sz="4" w:space="0" w:color="auto"/>
            </w:tcBorders>
            <w:shd w:val="clear" w:color="auto" w:fill="auto"/>
            <w:vAlign w:val="bottom"/>
            <w:hideMark/>
          </w:tcPr>
          <w:p w14:paraId="3F21F9B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1.8</w:t>
            </w:r>
          </w:p>
        </w:tc>
        <w:tc>
          <w:tcPr>
            <w:tcW w:w="1300" w:type="dxa"/>
            <w:tcBorders>
              <w:top w:val="nil"/>
              <w:left w:val="nil"/>
              <w:bottom w:val="single" w:sz="4" w:space="0" w:color="auto"/>
              <w:right w:val="single" w:sz="4" w:space="0" w:color="auto"/>
            </w:tcBorders>
            <w:shd w:val="clear" w:color="auto" w:fill="auto"/>
            <w:noWrap/>
            <w:vAlign w:val="bottom"/>
            <w:hideMark/>
          </w:tcPr>
          <w:p w14:paraId="1575845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-0.5</w:t>
            </w:r>
          </w:p>
        </w:tc>
        <w:tc>
          <w:tcPr>
            <w:tcW w:w="1300" w:type="dxa"/>
            <w:tcBorders>
              <w:top w:val="nil"/>
              <w:left w:val="nil"/>
              <w:bottom w:val="single" w:sz="4" w:space="0" w:color="auto"/>
              <w:right w:val="single" w:sz="4" w:space="0" w:color="auto"/>
            </w:tcBorders>
            <w:shd w:val="clear" w:color="auto" w:fill="auto"/>
            <w:noWrap/>
            <w:vAlign w:val="bottom"/>
            <w:hideMark/>
          </w:tcPr>
          <w:p w14:paraId="5862296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-22%</w:t>
            </w:r>
          </w:p>
        </w:tc>
      </w:tr>
      <w:tr w:rsidR="00A21985" w:rsidRPr="00A21985" w14:paraId="7649E36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399FF60"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Benin</w:t>
            </w:r>
          </w:p>
        </w:tc>
        <w:tc>
          <w:tcPr>
            <w:tcW w:w="1300" w:type="dxa"/>
            <w:tcBorders>
              <w:top w:val="nil"/>
              <w:left w:val="nil"/>
              <w:bottom w:val="single" w:sz="4" w:space="0" w:color="auto"/>
              <w:right w:val="single" w:sz="4" w:space="0" w:color="auto"/>
            </w:tcBorders>
            <w:shd w:val="clear" w:color="auto" w:fill="auto"/>
            <w:vAlign w:val="bottom"/>
            <w:hideMark/>
          </w:tcPr>
          <w:p w14:paraId="45E6B9C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1.4</w:t>
            </w:r>
          </w:p>
        </w:tc>
        <w:tc>
          <w:tcPr>
            <w:tcW w:w="1300" w:type="dxa"/>
            <w:tcBorders>
              <w:top w:val="nil"/>
              <w:left w:val="nil"/>
              <w:bottom w:val="single" w:sz="4" w:space="0" w:color="auto"/>
              <w:right w:val="single" w:sz="4" w:space="0" w:color="auto"/>
            </w:tcBorders>
            <w:shd w:val="clear" w:color="auto" w:fill="auto"/>
            <w:vAlign w:val="bottom"/>
            <w:hideMark/>
          </w:tcPr>
          <w:p w14:paraId="3F72C29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0A001E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-0.2</w:t>
            </w:r>
          </w:p>
        </w:tc>
        <w:tc>
          <w:tcPr>
            <w:tcW w:w="1300" w:type="dxa"/>
            <w:tcBorders>
              <w:top w:val="nil"/>
              <w:left w:val="nil"/>
              <w:bottom w:val="single" w:sz="4" w:space="0" w:color="auto"/>
              <w:right w:val="single" w:sz="4" w:space="0" w:color="auto"/>
            </w:tcBorders>
            <w:shd w:val="clear" w:color="auto" w:fill="auto"/>
            <w:noWrap/>
            <w:vAlign w:val="bottom"/>
            <w:hideMark/>
          </w:tcPr>
          <w:p w14:paraId="05750B9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-14%</w:t>
            </w:r>
          </w:p>
        </w:tc>
      </w:tr>
      <w:tr w:rsidR="00A21985" w:rsidRPr="00A21985" w14:paraId="58D9D4C9"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BA536C4"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Uganda</w:t>
            </w:r>
          </w:p>
        </w:tc>
        <w:tc>
          <w:tcPr>
            <w:tcW w:w="1300" w:type="dxa"/>
            <w:tcBorders>
              <w:top w:val="nil"/>
              <w:left w:val="nil"/>
              <w:bottom w:val="single" w:sz="4" w:space="0" w:color="auto"/>
              <w:right w:val="single" w:sz="4" w:space="0" w:color="auto"/>
            </w:tcBorders>
            <w:shd w:val="clear" w:color="auto" w:fill="auto"/>
            <w:vAlign w:val="bottom"/>
            <w:hideMark/>
          </w:tcPr>
          <w:p w14:paraId="5C32C2F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7.3</w:t>
            </w:r>
          </w:p>
        </w:tc>
        <w:tc>
          <w:tcPr>
            <w:tcW w:w="1300" w:type="dxa"/>
            <w:tcBorders>
              <w:top w:val="nil"/>
              <w:left w:val="nil"/>
              <w:bottom w:val="single" w:sz="4" w:space="0" w:color="auto"/>
              <w:right w:val="single" w:sz="4" w:space="0" w:color="auto"/>
            </w:tcBorders>
            <w:shd w:val="clear" w:color="auto" w:fill="auto"/>
            <w:vAlign w:val="bottom"/>
            <w:hideMark/>
          </w:tcPr>
          <w:p w14:paraId="226E355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6.5</w:t>
            </w:r>
          </w:p>
        </w:tc>
        <w:tc>
          <w:tcPr>
            <w:tcW w:w="1300" w:type="dxa"/>
            <w:tcBorders>
              <w:top w:val="nil"/>
              <w:left w:val="nil"/>
              <w:bottom w:val="single" w:sz="4" w:space="0" w:color="auto"/>
              <w:right w:val="single" w:sz="4" w:space="0" w:color="auto"/>
            </w:tcBorders>
            <w:shd w:val="clear" w:color="auto" w:fill="auto"/>
            <w:noWrap/>
            <w:vAlign w:val="bottom"/>
            <w:hideMark/>
          </w:tcPr>
          <w:p w14:paraId="7900A8C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-0.8</w:t>
            </w:r>
          </w:p>
        </w:tc>
        <w:tc>
          <w:tcPr>
            <w:tcW w:w="1300" w:type="dxa"/>
            <w:tcBorders>
              <w:top w:val="nil"/>
              <w:left w:val="nil"/>
              <w:bottom w:val="single" w:sz="4" w:space="0" w:color="auto"/>
              <w:right w:val="single" w:sz="4" w:space="0" w:color="auto"/>
            </w:tcBorders>
            <w:shd w:val="clear" w:color="auto" w:fill="auto"/>
            <w:noWrap/>
            <w:vAlign w:val="bottom"/>
            <w:hideMark/>
          </w:tcPr>
          <w:p w14:paraId="2959107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w:t>
            </w:r>
          </w:p>
        </w:tc>
      </w:tr>
      <w:tr w:rsidR="00A21985" w:rsidRPr="00A21985" w14:paraId="7163C1B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37C51343"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Nigeria</w:t>
            </w:r>
          </w:p>
        </w:tc>
        <w:tc>
          <w:tcPr>
            <w:tcW w:w="1300" w:type="dxa"/>
            <w:tcBorders>
              <w:top w:val="nil"/>
              <w:left w:val="nil"/>
              <w:bottom w:val="single" w:sz="4" w:space="0" w:color="auto"/>
              <w:right w:val="single" w:sz="4" w:space="0" w:color="auto"/>
            </w:tcBorders>
            <w:shd w:val="clear" w:color="auto" w:fill="auto"/>
            <w:vAlign w:val="bottom"/>
            <w:hideMark/>
          </w:tcPr>
          <w:p w14:paraId="1E80CEE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3.9</w:t>
            </w:r>
          </w:p>
        </w:tc>
        <w:tc>
          <w:tcPr>
            <w:tcW w:w="1300" w:type="dxa"/>
            <w:tcBorders>
              <w:top w:val="nil"/>
              <w:left w:val="nil"/>
              <w:bottom w:val="single" w:sz="4" w:space="0" w:color="auto"/>
              <w:right w:val="single" w:sz="4" w:space="0" w:color="auto"/>
            </w:tcBorders>
            <w:shd w:val="clear" w:color="auto" w:fill="auto"/>
            <w:vAlign w:val="bottom"/>
            <w:hideMark/>
          </w:tcPr>
          <w:p w14:paraId="4E8F2EE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6607B88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-0.3</w:t>
            </w:r>
          </w:p>
        </w:tc>
        <w:tc>
          <w:tcPr>
            <w:tcW w:w="1300" w:type="dxa"/>
            <w:tcBorders>
              <w:top w:val="nil"/>
              <w:left w:val="nil"/>
              <w:bottom w:val="single" w:sz="4" w:space="0" w:color="auto"/>
              <w:right w:val="single" w:sz="4" w:space="0" w:color="auto"/>
            </w:tcBorders>
            <w:shd w:val="clear" w:color="auto" w:fill="auto"/>
            <w:noWrap/>
            <w:vAlign w:val="bottom"/>
            <w:hideMark/>
          </w:tcPr>
          <w:p w14:paraId="513ECDA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w:t>
            </w:r>
          </w:p>
        </w:tc>
      </w:tr>
      <w:tr w:rsidR="00A21985" w:rsidRPr="00A21985" w14:paraId="4DAAAD0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1B0AE7EA"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Zambia</w:t>
            </w:r>
          </w:p>
        </w:tc>
        <w:tc>
          <w:tcPr>
            <w:tcW w:w="1300" w:type="dxa"/>
            <w:tcBorders>
              <w:top w:val="nil"/>
              <w:left w:val="nil"/>
              <w:bottom w:val="single" w:sz="4" w:space="0" w:color="auto"/>
              <w:right w:val="single" w:sz="4" w:space="0" w:color="auto"/>
            </w:tcBorders>
            <w:shd w:val="clear" w:color="auto" w:fill="auto"/>
            <w:vAlign w:val="bottom"/>
            <w:hideMark/>
          </w:tcPr>
          <w:p w14:paraId="0C6FC77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14.4</w:t>
            </w:r>
          </w:p>
        </w:tc>
        <w:tc>
          <w:tcPr>
            <w:tcW w:w="1300" w:type="dxa"/>
            <w:tcBorders>
              <w:top w:val="nil"/>
              <w:left w:val="nil"/>
              <w:bottom w:val="single" w:sz="4" w:space="0" w:color="auto"/>
              <w:right w:val="single" w:sz="4" w:space="0" w:color="auto"/>
            </w:tcBorders>
            <w:shd w:val="clear" w:color="auto" w:fill="auto"/>
            <w:vAlign w:val="bottom"/>
            <w:hideMark/>
          </w:tcPr>
          <w:p w14:paraId="3743D05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13.5</w:t>
            </w:r>
          </w:p>
        </w:tc>
        <w:tc>
          <w:tcPr>
            <w:tcW w:w="1300" w:type="dxa"/>
            <w:tcBorders>
              <w:top w:val="nil"/>
              <w:left w:val="nil"/>
              <w:bottom w:val="single" w:sz="4" w:space="0" w:color="auto"/>
              <w:right w:val="single" w:sz="4" w:space="0" w:color="auto"/>
            </w:tcBorders>
            <w:shd w:val="clear" w:color="auto" w:fill="auto"/>
            <w:noWrap/>
            <w:vAlign w:val="bottom"/>
            <w:hideMark/>
          </w:tcPr>
          <w:p w14:paraId="3F9C3E3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-0.9</w:t>
            </w:r>
          </w:p>
        </w:tc>
        <w:tc>
          <w:tcPr>
            <w:tcW w:w="1300" w:type="dxa"/>
            <w:tcBorders>
              <w:top w:val="nil"/>
              <w:left w:val="nil"/>
              <w:bottom w:val="single" w:sz="4" w:space="0" w:color="auto"/>
              <w:right w:val="single" w:sz="4" w:space="0" w:color="auto"/>
            </w:tcBorders>
            <w:shd w:val="clear" w:color="auto" w:fill="auto"/>
            <w:noWrap/>
            <w:vAlign w:val="bottom"/>
            <w:hideMark/>
          </w:tcPr>
          <w:p w14:paraId="680CC9E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w:t>
            </w:r>
          </w:p>
        </w:tc>
      </w:tr>
      <w:tr w:rsidR="00A21985" w:rsidRPr="00A21985" w14:paraId="4FD43ACF"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7BC1CDD"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Lesotho</w:t>
            </w:r>
          </w:p>
        </w:tc>
        <w:tc>
          <w:tcPr>
            <w:tcW w:w="1300" w:type="dxa"/>
            <w:tcBorders>
              <w:top w:val="nil"/>
              <w:left w:val="nil"/>
              <w:bottom w:val="single" w:sz="4" w:space="0" w:color="auto"/>
              <w:right w:val="single" w:sz="4" w:space="0" w:color="auto"/>
            </w:tcBorders>
            <w:shd w:val="clear" w:color="auto" w:fill="auto"/>
            <w:vAlign w:val="bottom"/>
            <w:hideMark/>
          </w:tcPr>
          <w:p w14:paraId="76AC1CC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24.5</w:t>
            </w:r>
          </w:p>
        </w:tc>
        <w:tc>
          <w:tcPr>
            <w:tcW w:w="1300" w:type="dxa"/>
            <w:tcBorders>
              <w:top w:val="nil"/>
              <w:left w:val="nil"/>
              <w:bottom w:val="single" w:sz="4" w:space="0" w:color="auto"/>
              <w:right w:val="single" w:sz="4" w:space="0" w:color="auto"/>
            </w:tcBorders>
            <w:shd w:val="clear" w:color="auto" w:fill="auto"/>
            <w:vAlign w:val="bottom"/>
            <w:hideMark/>
          </w:tcPr>
          <w:p w14:paraId="43D8FDF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23.6</w:t>
            </w:r>
          </w:p>
        </w:tc>
        <w:tc>
          <w:tcPr>
            <w:tcW w:w="1300" w:type="dxa"/>
            <w:tcBorders>
              <w:top w:val="nil"/>
              <w:left w:val="nil"/>
              <w:bottom w:val="single" w:sz="4" w:space="0" w:color="auto"/>
              <w:right w:val="single" w:sz="4" w:space="0" w:color="auto"/>
            </w:tcBorders>
            <w:shd w:val="clear" w:color="auto" w:fill="auto"/>
            <w:noWrap/>
            <w:vAlign w:val="bottom"/>
            <w:hideMark/>
          </w:tcPr>
          <w:p w14:paraId="769400B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-0.9</w:t>
            </w:r>
          </w:p>
        </w:tc>
        <w:tc>
          <w:tcPr>
            <w:tcW w:w="1300" w:type="dxa"/>
            <w:tcBorders>
              <w:top w:val="nil"/>
              <w:left w:val="nil"/>
              <w:bottom w:val="single" w:sz="4" w:space="0" w:color="auto"/>
              <w:right w:val="single" w:sz="4" w:space="0" w:color="auto"/>
            </w:tcBorders>
            <w:shd w:val="clear" w:color="auto" w:fill="auto"/>
            <w:noWrap/>
            <w:vAlign w:val="bottom"/>
            <w:hideMark/>
          </w:tcPr>
          <w:p w14:paraId="26EC3C5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w:t>
            </w:r>
          </w:p>
        </w:tc>
      </w:tr>
      <w:tr w:rsidR="00A21985" w:rsidRPr="00A21985" w14:paraId="3709E9D2"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1BE1098B"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Comoros</w:t>
            </w:r>
          </w:p>
        </w:tc>
        <w:tc>
          <w:tcPr>
            <w:tcW w:w="1300" w:type="dxa"/>
            <w:tcBorders>
              <w:top w:val="nil"/>
              <w:left w:val="nil"/>
              <w:bottom w:val="single" w:sz="4" w:space="0" w:color="auto"/>
              <w:right w:val="single" w:sz="4" w:space="0" w:color="auto"/>
            </w:tcBorders>
            <w:shd w:val="clear" w:color="auto" w:fill="auto"/>
            <w:vAlign w:val="bottom"/>
            <w:hideMark/>
          </w:tcPr>
          <w:p w14:paraId="2337D40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vAlign w:val="bottom"/>
            <w:hideMark/>
          </w:tcPr>
          <w:p w14:paraId="2FCD71F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14:paraId="779A331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71A7378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w:t>
            </w:r>
          </w:p>
        </w:tc>
      </w:tr>
      <w:tr w:rsidR="00A21985" w:rsidRPr="00A21985" w14:paraId="1C5929C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125BE48D"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Mauritania</w:t>
            </w:r>
          </w:p>
        </w:tc>
        <w:tc>
          <w:tcPr>
            <w:tcW w:w="1300" w:type="dxa"/>
            <w:tcBorders>
              <w:top w:val="nil"/>
              <w:left w:val="nil"/>
              <w:bottom w:val="single" w:sz="4" w:space="0" w:color="auto"/>
              <w:right w:val="single" w:sz="4" w:space="0" w:color="auto"/>
            </w:tcBorders>
            <w:shd w:val="clear" w:color="auto" w:fill="auto"/>
            <w:vAlign w:val="bottom"/>
            <w:hideMark/>
          </w:tcPr>
          <w:p w14:paraId="6A5B9EB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0.6</w:t>
            </w:r>
          </w:p>
        </w:tc>
        <w:tc>
          <w:tcPr>
            <w:tcW w:w="1300" w:type="dxa"/>
            <w:tcBorders>
              <w:top w:val="nil"/>
              <w:left w:val="nil"/>
              <w:bottom w:val="single" w:sz="4" w:space="0" w:color="auto"/>
              <w:right w:val="single" w:sz="4" w:space="0" w:color="auto"/>
            </w:tcBorders>
            <w:shd w:val="clear" w:color="auto" w:fill="auto"/>
            <w:vAlign w:val="bottom"/>
            <w:hideMark/>
          </w:tcPr>
          <w:p w14:paraId="57E55DE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0.7</w:t>
            </w:r>
          </w:p>
        </w:tc>
        <w:tc>
          <w:tcPr>
            <w:tcW w:w="1300" w:type="dxa"/>
            <w:tcBorders>
              <w:top w:val="nil"/>
              <w:left w:val="nil"/>
              <w:bottom w:val="single" w:sz="4" w:space="0" w:color="auto"/>
              <w:right w:val="single" w:sz="4" w:space="0" w:color="auto"/>
            </w:tcBorders>
            <w:shd w:val="clear" w:color="auto" w:fill="auto"/>
            <w:noWrap/>
            <w:vAlign w:val="bottom"/>
            <w:hideMark/>
          </w:tcPr>
          <w:p w14:paraId="155024F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14:paraId="3EA6B42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17%</w:t>
            </w:r>
          </w:p>
        </w:tc>
      </w:tr>
      <w:tr w:rsidR="00A21985" w:rsidRPr="00A21985" w14:paraId="3EF82770"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3A3D42A"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Mozambique</w:t>
            </w:r>
          </w:p>
        </w:tc>
        <w:tc>
          <w:tcPr>
            <w:tcW w:w="1300" w:type="dxa"/>
            <w:tcBorders>
              <w:top w:val="nil"/>
              <w:left w:val="nil"/>
              <w:bottom w:val="single" w:sz="4" w:space="0" w:color="auto"/>
              <w:right w:val="single" w:sz="4" w:space="0" w:color="auto"/>
            </w:tcBorders>
            <w:shd w:val="clear" w:color="auto" w:fill="auto"/>
            <w:vAlign w:val="bottom"/>
            <w:hideMark/>
          </w:tcPr>
          <w:p w14:paraId="5F0F1D2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8.6</w:t>
            </w:r>
          </w:p>
        </w:tc>
        <w:tc>
          <w:tcPr>
            <w:tcW w:w="1300" w:type="dxa"/>
            <w:tcBorders>
              <w:top w:val="nil"/>
              <w:left w:val="nil"/>
              <w:bottom w:val="single" w:sz="4" w:space="0" w:color="auto"/>
              <w:right w:val="single" w:sz="4" w:space="0" w:color="auto"/>
            </w:tcBorders>
            <w:shd w:val="clear" w:color="auto" w:fill="auto"/>
            <w:vAlign w:val="bottom"/>
            <w:hideMark/>
          </w:tcPr>
          <w:p w14:paraId="61DF6A5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11.5</w:t>
            </w:r>
          </w:p>
        </w:tc>
        <w:tc>
          <w:tcPr>
            <w:tcW w:w="1300" w:type="dxa"/>
            <w:tcBorders>
              <w:top w:val="nil"/>
              <w:left w:val="nil"/>
              <w:bottom w:val="single" w:sz="4" w:space="0" w:color="auto"/>
              <w:right w:val="single" w:sz="4" w:space="0" w:color="auto"/>
            </w:tcBorders>
            <w:shd w:val="clear" w:color="auto" w:fill="auto"/>
            <w:noWrap/>
            <w:vAlign w:val="bottom"/>
            <w:hideMark/>
          </w:tcPr>
          <w:p w14:paraId="52FE81E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08C9C0D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34%</w:t>
            </w:r>
          </w:p>
        </w:tc>
      </w:tr>
      <w:tr w:rsidR="00A21985" w:rsidRPr="00A21985" w14:paraId="2AD1991E"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510DCF06"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Sudan</w:t>
            </w:r>
          </w:p>
        </w:tc>
        <w:tc>
          <w:tcPr>
            <w:tcW w:w="1300" w:type="dxa"/>
            <w:tcBorders>
              <w:top w:val="nil"/>
              <w:left w:val="nil"/>
              <w:bottom w:val="single" w:sz="4" w:space="0" w:color="auto"/>
              <w:right w:val="single" w:sz="4" w:space="0" w:color="auto"/>
            </w:tcBorders>
            <w:shd w:val="clear" w:color="auto" w:fill="auto"/>
            <w:vAlign w:val="bottom"/>
            <w:hideMark/>
          </w:tcPr>
          <w:p w14:paraId="19CC032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0.3</w:t>
            </w:r>
          </w:p>
        </w:tc>
        <w:tc>
          <w:tcPr>
            <w:tcW w:w="1300" w:type="dxa"/>
            <w:tcBorders>
              <w:top w:val="nil"/>
              <w:left w:val="nil"/>
              <w:bottom w:val="single" w:sz="4" w:space="0" w:color="auto"/>
              <w:right w:val="single" w:sz="4" w:space="0" w:color="auto"/>
            </w:tcBorders>
            <w:shd w:val="clear" w:color="auto" w:fill="auto"/>
            <w:vAlign w:val="bottom"/>
            <w:hideMark/>
          </w:tcPr>
          <w:p w14:paraId="42A0DCA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303EFB4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0.8</w:t>
            </w:r>
          </w:p>
        </w:tc>
        <w:tc>
          <w:tcPr>
            <w:tcW w:w="1300" w:type="dxa"/>
            <w:tcBorders>
              <w:top w:val="nil"/>
              <w:left w:val="nil"/>
              <w:bottom w:val="single" w:sz="4" w:space="0" w:color="auto"/>
              <w:right w:val="single" w:sz="4" w:space="0" w:color="auto"/>
            </w:tcBorders>
            <w:shd w:val="clear" w:color="auto" w:fill="auto"/>
            <w:noWrap/>
            <w:vAlign w:val="bottom"/>
            <w:hideMark/>
          </w:tcPr>
          <w:p w14:paraId="7B3B3E4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267%</w:t>
            </w:r>
          </w:p>
        </w:tc>
      </w:tr>
      <w:tr w:rsidR="00A21985" w:rsidRPr="00A21985" w14:paraId="674E7551"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45EBCDAB"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Gambia</w:t>
            </w:r>
          </w:p>
        </w:tc>
        <w:tc>
          <w:tcPr>
            <w:tcW w:w="1300" w:type="dxa"/>
            <w:tcBorders>
              <w:top w:val="nil"/>
              <w:left w:val="nil"/>
              <w:bottom w:val="single" w:sz="4" w:space="0" w:color="auto"/>
              <w:right w:val="single" w:sz="4" w:space="0" w:color="auto"/>
            </w:tcBorders>
            <w:shd w:val="clear" w:color="auto" w:fill="auto"/>
            <w:vAlign w:val="bottom"/>
            <w:hideMark/>
          </w:tcPr>
          <w:p w14:paraId="023DF4B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0.5</w:t>
            </w:r>
          </w:p>
        </w:tc>
        <w:tc>
          <w:tcPr>
            <w:tcW w:w="1300" w:type="dxa"/>
            <w:tcBorders>
              <w:top w:val="nil"/>
              <w:left w:val="nil"/>
              <w:bottom w:val="single" w:sz="4" w:space="0" w:color="auto"/>
              <w:right w:val="single" w:sz="4" w:space="0" w:color="auto"/>
            </w:tcBorders>
            <w:shd w:val="clear" w:color="auto" w:fill="auto"/>
            <w:vAlign w:val="bottom"/>
            <w:hideMark/>
          </w:tcPr>
          <w:p w14:paraId="1DE0B61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50B5718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5BD0761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300%</w:t>
            </w:r>
          </w:p>
        </w:tc>
      </w:tr>
    </w:tbl>
    <w:p w14:paraId="42F5DE7B" w14:textId="77777777" w:rsidR="00FD4036" w:rsidRPr="00A21985" w:rsidRDefault="00FD4036" w:rsidP="00B3545A">
      <w:pPr>
        <w:rPr>
          <w:rFonts w:ascii="Times New Roman" w:hAnsi="Times New Roman"/>
          <w:sz w:val="20"/>
          <w:szCs w:val="20"/>
        </w:rPr>
      </w:pPr>
    </w:p>
    <w:tbl>
      <w:tblPr>
        <w:tblW w:w="6500" w:type="dxa"/>
        <w:tblInd w:w="93" w:type="dxa"/>
        <w:tblLook w:val="04A0" w:firstRow="1" w:lastRow="0" w:firstColumn="1" w:lastColumn="0" w:noHBand="0" w:noVBand="1"/>
      </w:tblPr>
      <w:tblGrid>
        <w:gridCol w:w="1300"/>
        <w:gridCol w:w="1300"/>
        <w:gridCol w:w="1300"/>
        <w:gridCol w:w="1300"/>
        <w:gridCol w:w="1300"/>
      </w:tblGrid>
      <w:tr w:rsidR="00A21985" w:rsidRPr="00A21985" w14:paraId="23D398F9" w14:textId="77777777" w:rsidTr="00A21985">
        <w:trPr>
          <w:trHeight w:val="1970"/>
        </w:trPr>
        <w:tc>
          <w:tcPr>
            <w:tcW w:w="1300"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57E7DD60"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Country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52496F2"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Out-of-pocket expenditure as % of total expenditure on health, 2000--WHO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BFB169"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Out-of-pocket expenditure as % of total expenditure on health, 2009--WHO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005C769"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Decrease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8BFDECF"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 Change</w:t>
            </w:r>
          </w:p>
        </w:tc>
      </w:tr>
      <w:tr w:rsidR="00A21985" w:rsidRPr="00A21985" w14:paraId="0154CF50"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000000" w:fill="BFBFBF"/>
            <w:vAlign w:val="bottom"/>
            <w:hideMark/>
          </w:tcPr>
          <w:p w14:paraId="07A03FE8" w14:textId="77777777" w:rsidR="00A21985" w:rsidRPr="00A21985" w:rsidRDefault="00A21985" w:rsidP="00A21985">
            <w:pP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Tanzania</w:t>
            </w:r>
          </w:p>
        </w:tc>
        <w:tc>
          <w:tcPr>
            <w:tcW w:w="1300" w:type="dxa"/>
            <w:tcBorders>
              <w:top w:val="nil"/>
              <w:left w:val="nil"/>
              <w:bottom w:val="single" w:sz="4" w:space="0" w:color="auto"/>
              <w:right w:val="single" w:sz="4" w:space="0" w:color="auto"/>
            </w:tcBorders>
            <w:shd w:val="clear" w:color="000000" w:fill="BFBFBF"/>
            <w:vAlign w:val="bottom"/>
            <w:hideMark/>
          </w:tcPr>
          <w:p w14:paraId="29C06AA5"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47.26</w:t>
            </w:r>
          </w:p>
        </w:tc>
        <w:tc>
          <w:tcPr>
            <w:tcW w:w="1300" w:type="dxa"/>
            <w:tcBorders>
              <w:top w:val="nil"/>
              <w:left w:val="nil"/>
              <w:bottom w:val="single" w:sz="4" w:space="0" w:color="auto"/>
              <w:right w:val="single" w:sz="4" w:space="0" w:color="auto"/>
            </w:tcBorders>
            <w:shd w:val="clear" w:color="000000" w:fill="BFBFBF"/>
            <w:vAlign w:val="bottom"/>
            <w:hideMark/>
          </w:tcPr>
          <w:p w14:paraId="55C7FABB"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17.19</w:t>
            </w:r>
          </w:p>
        </w:tc>
        <w:tc>
          <w:tcPr>
            <w:tcW w:w="1300" w:type="dxa"/>
            <w:tcBorders>
              <w:top w:val="nil"/>
              <w:left w:val="nil"/>
              <w:bottom w:val="single" w:sz="4" w:space="0" w:color="auto"/>
              <w:right w:val="single" w:sz="4" w:space="0" w:color="auto"/>
            </w:tcBorders>
            <w:shd w:val="clear" w:color="000000" w:fill="BFBFBF"/>
            <w:noWrap/>
            <w:vAlign w:val="bottom"/>
            <w:hideMark/>
          </w:tcPr>
          <w:p w14:paraId="73EABA03"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-30.07</w:t>
            </w:r>
          </w:p>
        </w:tc>
        <w:tc>
          <w:tcPr>
            <w:tcW w:w="1300" w:type="dxa"/>
            <w:tcBorders>
              <w:top w:val="nil"/>
              <w:left w:val="nil"/>
              <w:bottom w:val="single" w:sz="4" w:space="0" w:color="auto"/>
              <w:right w:val="single" w:sz="4" w:space="0" w:color="auto"/>
            </w:tcBorders>
            <w:shd w:val="clear" w:color="000000" w:fill="BFBFBF"/>
            <w:noWrap/>
            <w:vAlign w:val="bottom"/>
            <w:hideMark/>
          </w:tcPr>
          <w:p w14:paraId="0EEEFC61" w14:textId="77777777" w:rsidR="00A21985" w:rsidRPr="00A21985" w:rsidRDefault="00A21985" w:rsidP="00A21985">
            <w:pPr>
              <w:jc w:val="center"/>
              <w:rPr>
                <w:rFonts w:ascii="Times New Roman" w:eastAsia="Times New Roman" w:hAnsi="Times New Roman"/>
                <w:b/>
                <w:bCs/>
                <w:color w:val="000000"/>
                <w:sz w:val="20"/>
                <w:szCs w:val="20"/>
              </w:rPr>
            </w:pPr>
            <w:r w:rsidRPr="00A21985">
              <w:rPr>
                <w:rFonts w:ascii="Times New Roman" w:eastAsia="Times New Roman" w:hAnsi="Times New Roman"/>
                <w:b/>
                <w:bCs/>
                <w:color w:val="000000"/>
                <w:sz w:val="20"/>
                <w:szCs w:val="20"/>
              </w:rPr>
              <w:t>-64%</w:t>
            </w:r>
          </w:p>
        </w:tc>
      </w:tr>
      <w:tr w:rsidR="00A21985" w:rsidRPr="00A21985" w14:paraId="54A7E6C5"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DA1DAC6"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Benin</w:t>
            </w:r>
          </w:p>
        </w:tc>
        <w:tc>
          <w:tcPr>
            <w:tcW w:w="1300" w:type="dxa"/>
            <w:tcBorders>
              <w:top w:val="nil"/>
              <w:left w:val="nil"/>
              <w:bottom w:val="single" w:sz="4" w:space="0" w:color="auto"/>
              <w:right w:val="single" w:sz="4" w:space="0" w:color="auto"/>
            </w:tcBorders>
            <w:shd w:val="clear" w:color="auto" w:fill="auto"/>
            <w:vAlign w:val="bottom"/>
            <w:hideMark/>
          </w:tcPr>
          <w:p w14:paraId="3552A5F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56.14</w:t>
            </w:r>
          </w:p>
        </w:tc>
        <w:tc>
          <w:tcPr>
            <w:tcW w:w="1300" w:type="dxa"/>
            <w:tcBorders>
              <w:top w:val="nil"/>
              <w:left w:val="nil"/>
              <w:bottom w:val="single" w:sz="4" w:space="0" w:color="auto"/>
              <w:right w:val="single" w:sz="4" w:space="0" w:color="auto"/>
            </w:tcBorders>
            <w:shd w:val="clear" w:color="auto" w:fill="auto"/>
            <w:vAlign w:val="bottom"/>
            <w:hideMark/>
          </w:tcPr>
          <w:p w14:paraId="3EB4BC8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41.53</w:t>
            </w:r>
          </w:p>
        </w:tc>
        <w:tc>
          <w:tcPr>
            <w:tcW w:w="1300" w:type="dxa"/>
            <w:tcBorders>
              <w:top w:val="nil"/>
              <w:left w:val="nil"/>
              <w:bottom w:val="single" w:sz="4" w:space="0" w:color="auto"/>
              <w:right w:val="single" w:sz="4" w:space="0" w:color="auto"/>
            </w:tcBorders>
            <w:shd w:val="clear" w:color="auto" w:fill="auto"/>
            <w:noWrap/>
            <w:vAlign w:val="bottom"/>
            <w:hideMark/>
          </w:tcPr>
          <w:p w14:paraId="36B111B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-14.61</w:t>
            </w:r>
          </w:p>
        </w:tc>
        <w:tc>
          <w:tcPr>
            <w:tcW w:w="1300" w:type="dxa"/>
            <w:tcBorders>
              <w:top w:val="nil"/>
              <w:left w:val="nil"/>
              <w:bottom w:val="single" w:sz="4" w:space="0" w:color="auto"/>
              <w:right w:val="single" w:sz="4" w:space="0" w:color="auto"/>
            </w:tcBorders>
            <w:shd w:val="clear" w:color="auto" w:fill="auto"/>
            <w:noWrap/>
            <w:vAlign w:val="bottom"/>
            <w:hideMark/>
          </w:tcPr>
          <w:p w14:paraId="4201A87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-26%</w:t>
            </w:r>
          </w:p>
        </w:tc>
      </w:tr>
      <w:tr w:rsidR="00A21985" w:rsidRPr="00A21985" w14:paraId="640EDB9C"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484CE6BD"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Lesotho</w:t>
            </w:r>
          </w:p>
        </w:tc>
        <w:tc>
          <w:tcPr>
            <w:tcW w:w="1300" w:type="dxa"/>
            <w:tcBorders>
              <w:top w:val="nil"/>
              <w:left w:val="nil"/>
              <w:bottom w:val="single" w:sz="4" w:space="0" w:color="auto"/>
              <w:right w:val="single" w:sz="4" w:space="0" w:color="auto"/>
            </w:tcBorders>
            <w:shd w:val="clear" w:color="auto" w:fill="auto"/>
            <w:vAlign w:val="bottom"/>
            <w:hideMark/>
          </w:tcPr>
          <w:p w14:paraId="493CABF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35.94</w:t>
            </w:r>
          </w:p>
        </w:tc>
        <w:tc>
          <w:tcPr>
            <w:tcW w:w="1300" w:type="dxa"/>
            <w:tcBorders>
              <w:top w:val="nil"/>
              <w:left w:val="nil"/>
              <w:bottom w:val="single" w:sz="4" w:space="0" w:color="auto"/>
              <w:right w:val="single" w:sz="4" w:space="0" w:color="auto"/>
            </w:tcBorders>
            <w:shd w:val="clear" w:color="auto" w:fill="auto"/>
            <w:vAlign w:val="bottom"/>
            <w:hideMark/>
          </w:tcPr>
          <w:p w14:paraId="379DEB4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21.91</w:t>
            </w:r>
          </w:p>
        </w:tc>
        <w:tc>
          <w:tcPr>
            <w:tcW w:w="1300" w:type="dxa"/>
            <w:tcBorders>
              <w:top w:val="nil"/>
              <w:left w:val="nil"/>
              <w:bottom w:val="single" w:sz="4" w:space="0" w:color="auto"/>
              <w:right w:val="single" w:sz="4" w:space="0" w:color="auto"/>
            </w:tcBorders>
            <w:shd w:val="clear" w:color="auto" w:fill="auto"/>
            <w:noWrap/>
            <w:vAlign w:val="bottom"/>
            <w:hideMark/>
          </w:tcPr>
          <w:p w14:paraId="40573C9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-14.03</w:t>
            </w:r>
          </w:p>
        </w:tc>
        <w:tc>
          <w:tcPr>
            <w:tcW w:w="1300" w:type="dxa"/>
            <w:tcBorders>
              <w:top w:val="nil"/>
              <w:left w:val="nil"/>
              <w:bottom w:val="single" w:sz="4" w:space="0" w:color="auto"/>
              <w:right w:val="single" w:sz="4" w:space="0" w:color="auto"/>
            </w:tcBorders>
            <w:shd w:val="clear" w:color="auto" w:fill="auto"/>
            <w:noWrap/>
            <w:vAlign w:val="bottom"/>
            <w:hideMark/>
          </w:tcPr>
          <w:p w14:paraId="6DBC18C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-39%</w:t>
            </w:r>
          </w:p>
        </w:tc>
      </w:tr>
      <w:tr w:rsidR="00A21985" w:rsidRPr="00A21985" w14:paraId="5B10190D"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90BE9BB"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Zambia</w:t>
            </w:r>
          </w:p>
        </w:tc>
        <w:tc>
          <w:tcPr>
            <w:tcW w:w="1300" w:type="dxa"/>
            <w:tcBorders>
              <w:top w:val="nil"/>
              <w:left w:val="nil"/>
              <w:bottom w:val="single" w:sz="4" w:space="0" w:color="auto"/>
              <w:right w:val="single" w:sz="4" w:space="0" w:color="auto"/>
            </w:tcBorders>
            <w:shd w:val="clear" w:color="auto" w:fill="auto"/>
            <w:vAlign w:val="bottom"/>
            <w:hideMark/>
          </w:tcPr>
          <w:p w14:paraId="491280A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39.2</w:t>
            </w:r>
          </w:p>
        </w:tc>
        <w:tc>
          <w:tcPr>
            <w:tcW w:w="1300" w:type="dxa"/>
            <w:tcBorders>
              <w:top w:val="nil"/>
              <w:left w:val="nil"/>
              <w:bottom w:val="single" w:sz="4" w:space="0" w:color="auto"/>
              <w:right w:val="single" w:sz="4" w:space="0" w:color="auto"/>
            </w:tcBorders>
            <w:shd w:val="clear" w:color="auto" w:fill="auto"/>
            <w:vAlign w:val="bottom"/>
            <w:hideMark/>
          </w:tcPr>
          <w:p w14:paraId="65DE58B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27.22</w:t>
            </w:r>
          </w:p>
        </w:tc>
        <w:tc>
          <w:tcPr>
            <w:tcW w:w="1300" w:type="dxa"/>
            <w:tcBorders>
              <w:top w:val="nil"/>
              <w:left w:val="nil"/>
              <w:bottom w:val="single" w:sz="4" w:space="0" w:color="auto"/>
              <w:right w:val="single" w:sz="4" w:space="0" w:color="auto"/>
            </w:tcBorders>
            <w:shd w:val="clear" w:color="auto" w:fill="auto"/>
            <w:noWrap/>
            <w:vAlign w:val="bottom"/>
            <w:hideMark/>
          </w:tcPr>
          <w:p w14:paraId="1DFE3A5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-11.98</w:t>
            </w:r>
          </w:p>
        </w:tc>
        <w:tc>
          <w:tcPr>
            <w:tcW w:w="1300" w:type="dxa"/>
            <w:tcBorders>
              <w:top w:val="nil"/>
              <w:left w:val="nil"/>
              <w:bottom w:val="single" w:sz="4" w:space="0" w:color="auto"/>
              <w:right w:val="single" w:sz="4" w:space="0" w:color="auto"/>
            </w:tcBorders>
            <w:shd w:val="clear" w:color="auto" w:fill="auto"/>
            <w:noWrap/>
            <w:vAlign w:val="bottom"/>
            <w:hideMark/>
          </w:tcPr>
          <w:p w14:paraId="3D11485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-31%</w:t>
            </w:r>
          </w:p>
        </w:tc>
      </w:tr>
      <w:tr w:rsidR="00A21985" w:rsidRPr="00A21985" w14:paraId="5CCB92B5"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139DE875"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Gambia</w:t>
            </w:r>
          </w:p>
        </w:tc>
        <w:tc>
          <w:tcPr>
            <w:tcW w:w="1300" w:type="dxa"/>
            <w:tcBorders>
              <w:top w:val="nil"/>
              <w:left w:val="nil"/>
              <w:bottom w:val="single" w:sz="4" w:space="0" w:color="auto"/>
              <w:right w:val="single" w:sz="4" w:space="0" w:color="auto"/>
            </w:tcBorders>
            <w:shd w:val="clear" w:color="auto" w:fill="auto"/>
            <w:vAlign w:val="bottom"/>
            <w:hideMark/>
          </w:tcPr>
          <w:p w14:paraId="2BEB971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35.66</w:t>
            </w:r>
          </w:p>
        </w:tc>
        <w:tc>
          <w:tcPr>
            <w:tcW w:w="1300" w:type="dxa"/>
            <w:tcBorders>
              <w:top w:val="nil"/>
              <w:left w:val="nil"/>
              <w:bottom w:val="single" w:sz="4" w:space="0" w:color="auto"/>
              <w:right w:val="single" w:sz="4" w:space="0" w:color="auto"/>
            </w:tcBorders>
            <w:shd w:val="clear" w:color="auto" w:fill="auto"/>
            <w:vAlign w:val="bottom"/>
            <w:hideMark/>
          </w:tcPr>
          <w:p w14:paraId="081004E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24.2</w:t>
            </w:r>
          </w:p>
        </w:tc>
        <w:tc>
          <w:tcPr>
            <w:tcW w:w="1300" w:type="dxa"/>
            <w:tcBorders>
              <w:top w:val="nil"/>
              <w:left w:val="nil"/>
              <w:bottom w:val="single" w:sz="4" w:space="0" w:color="auto"/>
              <w:right w:val="single" w:sz="4" w:space="0" w:color="auto"/>
            </w:tcBorders>
            <w:shd w:val="clear" w:color="auto" w:fill="auto"/>
            <w:noWrap/>
            <w:vAlign w:val="bottom"/>
            <w:hideMark/>
          </w:tcPr>
          <w:p w14:paraId="6997F611"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-11.46</w:t>
            </w:r>
          </w:p>
        </w:tc>
        <w:tc>
          <w:tcPr>
            <w:tcW w:w="1300" w:type="dxa"/>
            <w:tcBorders>
              <w:top w:val="nil"/>
              <w:left w:val="nil"/>
              <w:bottom w:val="single" w:sz="4" w:space="0" w:color="auto"/>
              <w:right w:val="single" w:sz="4" w:space="0" w:color="auto"/>
            </w:tcBorders>
            <w:shd w:val="clear" w:color="auto" w:fill="auto"/>
            <w:noWrap/>
            <w:vAlign w:val="bottom"/>
            <w:hideMark/>
          </w:tcPr>
          <w:p w14:paraId="05C7CB3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-32%</w:t>
            </w:r>
          </w:p>
        </w:tc>
      </w:tr>
      <w:tr w:rsidR="00A21985" w:rsidRPr="00A21985" w14:paraId="46D88593"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8C81D86"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Ghana</w:t>
            </w:r>
          </w:p>
        </w:tc>
        <w:tc>
          <w:tcPr>
            <w:tcW w:w="1300" w:type="dxa"/>
            <w:tcBorders>
              <w:top w:val="nil"/>
              <w:left w:val="nil"/>
              <w:bottom w:val="single" w:sz="4" w:space="0" w:color="auto"/>
              <w:right w:val="single" w:sz="4" w:space="0" w:color="auto"/>
            </w:tcBorders>
            <w:shd w:val="clear" w:color="auto" w:fill="auto"/>
            <w:vAlign w:val="bottom"/>
            <w:hideMark/>
          </w:tcPr>
          <w:p w14:paraId="0021432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46.65</w:t>
            </w:r>
          </w:p>
        </w:tc>
        <w:tc>
          <w:tcPr>
            <w:tcW w:w="1300" w:type="dxa"/>
            <w:tcBorders>
              <w:top w:val="nil"/>
              <w:left w:val="nil"/>
              <w:bottom w:val="single" w:sz="4" w:space="0" w:color="auto"/>
              <w:right w:val="single" w:sz="4" w:space="0" w:color="auto"/>
            </w:tcBorders>
            <w:shd w:val="clear" w:color="auto" w:fill="auto"/>
            <w:vAlign w:val="bottom"/>
            <w:hideMark/>
          </w:tcPr>
          <w:p w14:paraId="1719B564"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36.78</w:t>
            </w:r>
          </w:p>
        </w:tc>
        <w:tc>
          <w:tcPr>
            <w:tcW w:w="1300" w:type="dxa"/>
            <w:tcBorders>
              <w:top w:val="nil"/>
              <w:left w:val="nil"/>
              <w:bottom w:val="single" w:sz="4" w:space="0" w:color="auto"/>
              <w:right w:val="single" w:sz="4" w:space="0" w:color="auto"/>
            </w:tcBorders>
            <w:shd w:val="clear" w:color="auto" w:fill="auto"/>
            <w:noWrap/>
            <w:vAlign w:val="bottom"/>
            <w:hideMark/>
          </w:tcPr>
          <w:p w14:paraId="505073B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-9.87</w:t>
            </w:r>
          </w:p>
        </w:tc>
        <w:tc>
          <w:tcPr>
            <w:tcW w:w="1300" w:type="dxa"/>
            <w:tcBorders>
              <w:top w:val="nil"/>
              <w:left w:val="nil"/>
              <w:bottom w:val="single" w:sz="4" w:space="0" w:color="auto"/>
              <w:right w:val="single" w:sz="4" w:space="0" w:color="auto"/>
            </w:tcBorders>
            <w:shd w:val="clear" w:color="auto" w:fill="auto"/>
            <w:noWrap/>
            <w:vAlign w:val="bottom"/>
            <w:hideMark/>
          </w:tcPr>
          <w:p w14:paraId="397489D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-21%</w:t>
            </w:r>
          </w:p>
        </w:tc>
      </w:tr>
      <w:tr w:rsidR="00A21985" w:rsidRPr="00A21985" w14:paraId="2AA3CE58"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7B892008"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Comoros</w:t>
            </w:r>
          </w:p>
        </w:tc>
        <w:tc>
          <w:tcPr>
            <w:tcW w:w="1300" w:type="dxa"/>
            <w:tcBorders>
              <w:top w:val="nil"/>
              <w:left w:val="nil"/>
              <w:bottom w:val="single" w:sz="4" w:space="0" w:color="auto"/>
              <w:right w:val="single" w:sz="4" w:space="0" w:color="auto"/>
            </w:tcBorders>
            <w:shd w:val="clear" w:color="auto" w:fill="auto"/>
            <w:vAlign w:val="bottom"/>
            <w:hideMark/>
          </w:tcPr>
          <w:p w14:paraId="569EC59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45.9</w:t>
            </w:r>
          </w:p>
        </w:tc>
        <w:tc>
          <w:tcPr>
            <w:tcW w:w="1300" w:type="dxa"/>
            <w:tcBorders>
              <w:top w:val="nil"/>
              <w:left w:val="nil"/>
              <w:bottom w:val="single" w:sz="4" w:space="0" w:color="auto"/>
              <w:right w:val="single" w:sz="4" w:space="0" w:color="auto"/>
            </w:tcBorders>
            <w:shd w:val="clear" w:color="auto" w:fill="auto"/>
            <w:vAlign w:val="bottom"/>
            <w:hideMark/>
          </w:tcPr>
          <w:p w14:paraId="2410423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38.4</w:t>
            </w:r>
          </w:p>
        </w:tc>
        <w:tc>
          <w:tcPr>
            <w:tcW w:w="1300" w:type="dxa"/>
            <w:tcBorders>
              <w:top w:val="nil"/>
              <w:left w:val="nil"/>
              <w:bottom w:val="single" w:sz="4" w:space="0" w:color="auto"/>
              <w:right w:val="single" w:sz="4" w:space="0" w:color="auto"/>
            </w:tcBorders>
            <w:shd w:val="clear" w:color="auto" w:fill="auto"/>
            <w:noWrap/>
            <w:vAlign w:val="bottom"/>
            <w:hideMark/>
          </w:tcPr>
          <w:p w14:paraId="1EC8656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-7.5</w:t>
            </w:r>
          </w:p>
        </w:tc>
        <w:tc>
          <w:tcPr>
            <w:tcW w:w="1300" w:type="dxa"/>
            <w:tcBorders>
              <w:top w:val="nil"/>
              <w:left w:val="nil"/>
              <w:bottom w:val="single" w:sz="4" w:space="0" w:color="auto"/>
              <w:right w:val="single" w:sz="4" w:space="0" w:color="auto"/>
            </w:tcBorders>
            <w:shd w:val="clear" w:color="auto" w:fill="auto"/>
            <w:noWrap/>
            <w:vAlign w:val="bottom"/>
            <w:hideMark/>
          </w:tcPr>
          <w:p w14:paraId="08E7408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-16%</w:t>
            </w:r>
          </w:p>
        </w:tc>
      </w:tr>
      <w:tr w:rsidR="00A21985" w:rsidRPr="00A21985" w14:paraId="168CACB2"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692FC222"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Guinea</w:t>
            </w:r>
          </w:p>
        </w:tc>
        <w:tc>
          <w:tcPr>
            <w:tcW w:w="1300" w:type="dxa"/>
            <w:tcBorders>
              <w:top w:val="nil"/>
              <w:left w:val="nil"/>
              <w:bottom w:val="single" w:sz="4" w:space="0" w:color="auto"/>
              <w:right w:val="single" w:sz="4" w:space="0" w:color="auto"/>
            </w:tcBorders>
            <w:shd w:val="clear" w:color="auto" w:fill="auto"/>
            <w:vAlign w:val="bottom"/>
            <w:hideMark/>
          </w:tcPr>
          <w:p w14:paraId="68378D1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87.16</w:t>
            </w:r>
          </w:p>
        </w:tc>
        <w:tc>
          <w:tcPr>
            <w:tcW w:w="1300" w:type="dxa"/>
            <w:tcBorders>
              <w:top w:val="nil"/>
              <w:left w:val="nil"/>
              <w:bottom w:val="single" w:sz="4" w:space="0" w:color="auto"/>
              <w:right w:val="single" w:sz="4" w:space="0" w:color="auto"/>
            </w:tcBorders>
            <w:shd w:val="clear" w:color="auto" w:fill="auto"/>
            <w:vAlign w:val="bottom"/>
            <w:hideMark/>
          </w:tcPr>
          <w:p w14:paraId="362C4CB3"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84.29</w:t>
            </w:r>
          </w:p>
        </w:tc>
        <w:tc>
          <w:tcPr>
            <w:tcW w:w="1300" w:type="dxa"/>
            <w:tcBorders>
              <w:top w:val="nil"/>
              <w:left w:val="nil"/>
              <w:bottom w:val="single" w:sz="4" w:space="0" w:color="auto"/>
              <w:right w:val="single" w:sz="4" w:space="0" w:color="auto"/>
            </w:tcBorders>
            <w:shd w:val="clear" w:color="auto" w:fill="auto"/>
            <w:noWrap/>
            <w:vAlign w:val="bottom"/>
            <w:hideMark/>
          </w:tcPr>
          <w:p w14:paraId="5C87425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-2.87</w:t>
            </w:r>
          </w:p>
        </w:tc>
        <w:tc>
          <w:tcPr>
            <w:tcW w:w="1300" w:type="dxa"/>
            <w:tcBorders>
              <w:top w:val="nil"/>
              <w:left w:val="nil"/>
              <w:bottom w:val="single" w:sz="4" w:space="0" w:color="auto"/>
              <w:right w:val="single" w:sz="4" w:space="0" w:color="auto"/>
            </w:tcBorders>
            <w:shd w:val="clear" w:color="auto" w:fill="auto"/>
            <w:noWrap/>
            <w:vAlign w:val="bottom"/>
            <w:hideMark/>
          </w:tcPr>
          <w:p w14:paraId="4C092992"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w:t>
            </w:r>
          </w:p>
        </w:tc>
      </w:tr>
      <w:tr w:rsidR="00A21985" w:rsidRPr="00A21985" w14:paraId="3436CFA2" w14:textId="77777777" w:rsidTr="00E44ADB">
        <w:trPr>
          <w:trHeight w:val="296"/>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2DC9D64C"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Mozambique</w:t>
            </w:r>
          </w:p>
        </w:tc>
        <w:tc>
          <w:tcPr>
            <w:tcW w:w="1300" w:type="dxa"/>
            <w:tcBorders>
              <w:top w:val="nil"/>
              <w:left w:val="nil"/>
              <w:bottom w:val="single" w:sz="4" w:space="0" w:color="auto"/>
              <w:right w:val="single" w:sz="4" w:space="0" w:color="auto"/>
            </w:tcBorders>
            <w:shd w:val="clear" w:color="auto" w:fill="auto"/>
            <w:vAlign w:val="bottom"/>
            <w:hideMark/>
          </w:tcPr>
          <w:p w14:paraId="332EECD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12.57</w:t>
            </w:r>
          </w:p>
        </w:tc>
        <w:tc>
          <w:tcPr>
            <w:tcW w:w="1300" w:type="dxa"/>
            <w:tcBorders>
              <w:top w:val="nil"/>
              <w:left w:val="nil"/>
              <w:bottom w:val="single" w:sz="4" w:space="0" w:color="auto"/>
              <w:right w:val="single" w:sz="4" w:space="0" w:color="auto"/>
            </w:tcBorders>
            <w:shd w:val="clear" w:color="auto" w:fill="auto"/>
            <w:vAlign w:val="bottom"/>
            <w:hideMark/>
          </w:tcPr>
          <w:p w14:paraId="2A40B5A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10.68</w:t>
            </w:r>
          </w:p>
        </w:tc>
        <w:tc>
          <w:tcPr>
            <w:tcW w:w="1300" w:type="dxa"/>
            <w:tcBorders>
              <w:top w:val="nil"/>
              <w:left w:val="nil"/>
              <w:bottom w:val="single" w:sz="4" w:space="0" w:color="auto"/>
              <w:right w:val="single" w:sz="4" w:space="0" w:color="auto"/>
            </w:tcBorders>
            <w:shd w:val="clear" w:color="auto" w:fill="auto"/>
            <w:noWrap/>
            <w:vAlign w:val="bottom"/>
            <w:hideMark/>
          </w:tcPr>
          <w:p w14:paraId="0F86387E"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-1.89</w:t>
            </w:r>
          </w:p>
        </w:tc>
        <w:tc>
          <w:tcPr>
            <w:tcW w:w="1300" w:type="dxa"/>
            <w:tcBorders>
              <w:top w:val="nil"/>
              <w:left w:val="nil"/>
              <w:bottom w:val="single" w:sz="4" w:space="0" w:color="auto"/>
              <w:right w:val="single" w:sz="4" w:space="0" w:color="auto"/>
            </w:tcBorders>
            <w:shd w:val="clear" w:color="auto" w:fill="auto"/>
            <w:noWrap/>
            <w:vAlign w:val="bottom"/>
            <w:hideMark/>
          </w:tcPr>
          <w:p w14:paraId="2B31E54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-15%</w:t>
            </w:r>
          </w:p>
        </w:tc>
      </w:tr>
      <w:tr w:rsidR="00A21985" w:rsidRPr="00A21985" w14:paraId="18C1C9CF"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35C83BB7"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Nigeria</w:t>
            </w:r>
          </w:p>
        </w:tc>
        <w:tc>
          <w:tcPr>
            <w:tcW w:w="1300" w:type="dxa"/>
            <w:tcBorders>
              <w:top w:val="nil"/>
              <w:left w:val="nil"/>
              <w:bottom w:val="single" w:sz="4" w:space="0" w:color="auto"/>
              <w:right w:val="single" w:sz="4" w:space="0" w:color="auto"/>
            </w:tcBorders>
            <w:shd w:val="clear" w:color="auto" w:fill="auto"/>
            <w:vAlign w:val="bottom"/>
            <w:hideMark/>
          </w:tcPr>
          <w:p w14:paraId="5DA7A85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61.65</w:t>
            </w:r>
          </w:p>
        </w:tc>
        <w:tc>
          <w:tcPr>
            <w:tcW w:w="1300" w:type="dxa"/>
            <w:tcBorders>
              <w:top w:val="nil"/>
              <w:left w:val="nil"/>
              <w:bottom w:val="single" w:sz="4" w:space="0" w:color="auto"/>
              <w:right w:val="single" w:sz="4" w:space="0" w:color="auto"/>
            </w:tcBorders>
            <w:shd w:val="clear" w:color="auto" w:fill="auto"/>
            <w:vAlign w:val="bottom"/>
            <w:hideMark/>
          </w:tcPr>
          <w:p w14:paraId="03F292D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60.9</w:t>
            </w:r>
          </w:p>
        </w:tc>
        <w:tc>
          <w:tcPr>
            <w:tcW w:w="1300" w:type="dxa"/>
            <w:tcBorders>
              <w:top w:val="nil"/>
              <w:left w:val="nil"/>
              <w:bottom w:val="single" w:sz="4" w:space="0" w:color="auto"/>
              <w:right w:val="single" w:sz="4" w:space="0" w:color="auto"/>
            </w:tcBorders>
            <w:shd w:val="clear" w:color="auto" w:fill="auto"/>
            <w:noWrap/>
            <w:vAlign w:val="bottom"/>
            <w:hideMark/>
          </w:tcPr>
          <w:p w14:paraId="0BF7E52D"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-0.75</w:t>
            </w:r>
          </w:p>
        </w:tc>
        <w:tc>
          <w:tcPr>
            <w:tcW w:w="1300" w:type="dxa"/>
            <w:tcBorders>
              <w:top w:val="nil"/>
              <w:left w:val="nil"/>
              <w:bottom w:val="single" w:sz="4" w:space="0" w:color="auto"/>
              <w:right w:val="single" w:sz="4" w:space="0" w:color="auto"/>
            </w:tcBorders>
            <w:shd w:val="clear" w:color="auto" w:fill="auto"/>
            <w:noWrap/>
            <w:vAlign w:val="bottom"/>
            <w:hideMark/>
          </w:tcPr>
          <w:p w14:paraId="401FA32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w:t>
            </w:r>
          </w:p>
        </w:tc>
      </w:tr>
      <w:tr w:rsidR="00A21985" w:rsidRPr="00A21985" w14:paraId="2ECCC34D"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5D67D31A"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Sudan</w:t>
            </w:r>
          </w:p>
        </w:tc>
        <w:tc>
          <w:tcPr>
            <w:tcW w:w="1300" w:type="dxa"/>
            <w:tcBorders>
              <w:top w:val="nil"/>
              <w:left w:val="nil"/>
              <w:bottom w:val="single" w:sz="4" w:space="0" w:color="auto"/>
              <w:right w:val="single" w:sz="4" w:space="0" w:color="auto"/>
            </w:tcBorders>
            <w:shd w:val="clear" w:color="auto" w:fill="auto"/>
            <w:vAlign w:val="bottom"/>
            <w:hideMark/>
          </w:tcPr>
          <w:p w14:paraId="731A828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66.08</w:t>
            </w:r>
          </w:p>
        </w:tc>
        <w:tc>
          <w:tcPr>
            <w:tcW w:w="1300" w:type="dxa"/>
            <w:tcBorders>
              <w:top w:val="nil"/>
              <w:left w:val="nil"/>
              <w:bottom w:val="single" w:sz="4" w:space="0" w:color="auto"/>
              <w:right w:val="single" w:sz="4" w:space="0" w:color="auto"/>
            </w:tcBorders>
            <w:shd w:val="clear" w:color="auto" w:fill="auto"/>
            <w:vAlign w:val="bottom"/>
            <w:hideMark/>
          </w:tcPr>
          <w:p w14:paraId="5B0E7F6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69.84</w:t>
            </w:r>
          </w:p>
        </w:tc>
        <w:tc>
          <w:tcPr>
            <w:tcW w:w="1300" w:type="dxa"/>
            <w:tcBorders>
              <w:top w:val="nil"/>
              <w:left w:val="nil"/>
              <w:bottom w:val="single" w:sz="4" w:space="0" w:color="auto"/>
              <w:right w:val="single" w:sz="4" w:space="0" w:color="auto"/>
            </w:tcBorders>
            <w:shd w:val="clear" w:color="auto" w:fill="auto"/>
            <w:noWrap/>
            <w:vAlign w:val="bottom"/>
            <w:hideMark/>
          </w:tcPr>
          <w:p w14:paraId="563BB20B"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3.76</w:t>
            </w:r>
          </w:p>
        </w:tc>
        <w:tc>
          <w:tcPr>
            <w:tcW w:w="1300" w:type="dxa"/>
            <w:tcBorders>
              <w:top w:val="nil"/>
              <w:left w:val="nil"/>
              <w:bottom w:val="single" w:sz="4" w:space="0" w:color="auto"/>
              <w:right w:val="single" w:sz="4" w:space="0" w:color="auto"/>
            </w:tcBorders>
            <w:shd w:val="clear" w:color="auto" w:fill="auto"/>
            <w:noWrap/>
            <w:vAlign w:val="bottom"/>
            <w:hideMark/>
          </w:tcPr>
          <w:p w14:paraId="4B2A3F5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6%</w:t>
            </w:r>
          </w:p>
        </w:tc>
      </w:tr>
      <w:tr w:rsidR="00A21985" w:rsidRPr="00A21985" w14:paraId="353D360E"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06D1A86"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Kenya</w:t>
            </w:r>
          </w:p>
        </w:tc>
        <w:tc>
          <w:tcPr>
            <w:tcW w:w="1300" w:type="dxa"/>
            <w:tcBorders>
              <w:top w:val="nil"/>
              <w:left w:val="nil"/>
              <w:bottom w:val="single" w:sz="4" w:space="0" w:color="auto"/>
              <w:right w:val="single" w:sz="4" w:space="0" w:color="auto"/>
            </w:tcBorders>
            <w:shd w:val="clear" w:color="auto" w:fill="auto"/>
            <w:vAlign w:val="bottom"/>
            <w:hideMark/>
          </w:tcPr>
          <w:p w14:paraId="749F26F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43.81</w:t>
            </w:r>
          </w:p>
        </w:tc>
        <w:tc>
          <w:tcPr>
            <w:tcW w:w="1300" w:type="dxa"/>
            <w:tcBorders>
              <w:top w:val="nil"/>
              <w:left w:val="nil"/>
              <w:bottom w:val="single" w:sz="4" w:space="0" w:color="auto"/>
              <w:right w:val="single" w:sz="4" w:space="0" w:color="auto"/>
            </w:tcBorders>
            <w:shd w:val="clear" w:color="auto" w:fill="auto"/>
            <w:vAlign w:val="bottom"/>
            <w:hideMark/>
          </w:tcPr>
          <w:p w14:paraId="18A7035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51.24</w:t>
            </w:r>
          </w:p>
        </w:tc>
        <w:tc>
          <w:tcPr>
            <w:tcW w:w="1300" w:type="dxa"/>
            <w:tcBorders>
              <w:top w:val="nil"/>
              <w:left w:val="nil"/>
              <w:bottom w:val="single" w:sz="4" w:space="0" w:color="auto"/>
              <w:right w:val="single" w:sz="4" w:space="0" w:color="auto"/>
            </w:tcBorders>
            <w:shd w:val="clear" w:color="auto" w:fill="auto"/>
            <w:noWrap/>
            <w:vAlign w:val="bottom"/>
            <w:hideMark/>
          </w:tcPr>
          <w:p w14:paraId="5A36E5C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7.43</w:t>
            </w:r>
          </w:p>
        </w:tc>
        <w:tc>
          <w:tcPr>
            <w:tcW w:w="1300" w:type="dxa"/>
            <w:tcBorders>
              <w:top w:val="nil"/>
              <w:left w:val="nil"/>
              <w:bottom w:val="single" w:sz="4" w:space="0" w:color="auto"/>
              <w:right w:val="single" w:sz="4" w:space="0" w:color="auto"/>
            </w:tcBorders>
            <w:shd w:val="clear" w:color="auto" w:fill="auto"/>
            <w:noWrap/>
            <w:vAlign w:val="bottom"/>
            <w:hideMark/>
          </w:tcPr>
          <w:p w14:paraId="071B1690"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17%</w:t>
            </w:r>
          </w:p>
        </w:tc>
      </w:tr>
      <w:tr w:rsidR="00A21985" w:rsidRPr="00A21985" w14:paraId="46FC2C51"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084F8338"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Uganda</w:t>
            </w:r>
          </w:p>
        </w:tc>
        <w:tc>
          <w:tcPr>
            <w:tcW w:w="1300" w:type="dxa"/>
            <w:tcBorders>
              <w:top w:val="nil"/>
              <w:left w:val="nil"/>
              <w:bottom w:val="single" w:sz="4" w:space="0" w:color="auto"/>
              <w:right w:val="single" w:sz="4" w:space="0" w:color="auto"/>
            </w:tcBorders>
            <w:shd w:val="clear" w:color="auto" w:fill="auto"/>
            <w:vAlign w:val="bottom"/>
            <w:hideMark/>
          </w:tcPr>
          <w:p w14:paraId="6D699D6F"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41.5</w:t>
            </w:r>
          </w:p>
        </w:tc>
        <w:tc>
          <w:tcPr>
            <w:tcW w:w="1300" w:type="dxa"/>
            <w:tcBorders>
              <w:top w:val="nil"/>
              <w:left w:val="nil"/>
              <w:bottom w:val="single" w:sz="4" w:space="0" w:color="auto"/>
              <w:right w:val="single" w:sz="4" w:space="0" w:color="auto"/>
            </w:tcBorders>
            <w:shd w:val="clear" w:color="auto" w:fill="auto"/>
            <w:vAlign w:val="bottom"/>
            <w:hideMark/>
          </w:tcPr>
          <w:p w14:paraId="07C99DF8"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52.97</w:t>
            </w:r>
          </w:p>
        </w:tc>
        <w:tc>
          <w:tcPr>
            <w:tcW w:w="1300" w:type="dxa"/>
            <w:tcBorders>
              <w:top w:val="nil"/>
              <w:left w:val="nil"/>
              <w:bottom w:val="single" w:sz="4" w:space="0" w:color="auto"/>
              <w:right w:val="single" w:sz="4" w:space="0" w:color="auto"/>
            </w:tcBorders>
            <w:shd w:val="clear" w:color="auto" w:fill="auto"/>
            <w:noWrap/>
            <w:vAlign w:val="bottom"/>
            <w:hideMark/>
          </w:tcPr>
          <w:p w14:paraId="5CBDE345"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11.47</w:t>
            </w:r>
          </w:p>
        </w:tc>
        <w:tc>
          <w:tcPr>
            <w:tcW w:w="1300" w:type="dxa"/>
            <w:tcBorders>
              <w:top w:val="nil"/>
              <w:left w:val="nil"/>
              <w:bottom w:val="single" w:sz="4" w:space="0" w:color="auto"/>
              <w:right w:val="single" w:sz="4" w:space="0" w:color="auto"/>
            </w:tcBorders>
            <w:shd w:val="clear" w:color="auto" w:fill="auto"/>
            <w:noWrap/>
            <w:vAlign w:val="bottom"/>
            <w:hideMark/>
          </w:tcPr>
          <w:p w14:paraId="7BC4C666"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28%</w:t>
            </w:r>
          </w:p>
        </w:tc>
      </w:tr>
      <w:tr w:rsidR="00A21985" w:rsidRPr="00A21985" w14:paraId="6B3A79CA" w14:textId="77777777" w:rsidTr="00A21985">
        <w:trPr>
          <w:trHeight w:val="300"/>
        </w:trPr>
        <w:tc>
          <w:tcPr>
            <w:tcW w:w="1300" w:type="dxa"/>
            <w:tcBorders>
              <w:top w:val="nil"/>
              <w:left w:val="single" w:sz="4" w:space="0" w:color="000000"/>
              <w:bottom w:val="single" w:sz="4" w:space="0" w:color="auto"/>
              <w:right w:val="single" w:sz="4" w:space="0" w:color="auto"/>
            </w:tcBorders>
            <w:shd w:val="clear" w:color="auto" w:fill="auto"/>
            <w:vAlign w:val="bottom"/>
            <w:hideMark/>
          </w:tcPr>
          <w:p w14:paraId="533D039B" w14:textId="77777777" w:rsidR="00A21985" w:rsidRPr="00A21985" w:rsidRDefault="00A21985" w:rsidP="00A21985">
            <w:pP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Mauritania</w:t>
            </w:r>
          </w:p>
        </w:tc>
        <w:tc>
          <w:tcPr>
            <w:tcW w:w="1300" w:type="dxa"/>
            <w:tcBorders>
              <w:top w:val="nil"/>
              <w:left w:val="nil"/>
              <w:bottom w:val="single" w:sz="4" w:space="0" w:color="auto"/>
              <w:right w:val="single" w:sz="4" w:space="0" w:color="auto"/>
            </w:tcBorders>
            <w:shd w:val="clear" w:color="auto" w:fill="auto"/>
            <w:vAlign w:val="bottom"/>
            <w:hideMark/>
          </w:tcPr>
          <w:p w14:paraId="66C02587"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21.1</w:t>
            </w:r>
          </w:p>
        </w:tc>
        <w:tc>
          <w:tcPr>
            <w:tcW w:w="1300" w:type="dxa"/>
            <w:tcBorders>
              <w:top w:val="nil"/>
              <w:left w:val="nil"/>
              <w:bottom w:val="single" w:sz="4" w:space="0" w:color="auto"/>
              <w:right w:val="single" w:sz="4" w:space="0" w:color="auto"/>
            </w:tcBorders>
            <w:shd w:val="clear" w:color="auto" w:fill="auto"/>
            <w:vAlign w:val="bottom"/>
            <w:hideMark/>
          </w:tcPr>
          <w:p w14:paraId="746C8C2C"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37.4</w:t>
            </w:r>
          </w:p>
        </w:tc>
        <w:tc>
          <w:tcPr>
            <w:tcW w:w="1300" w:type="dxa"/>
            <w:tcBorders>
              <w:top w:val="nil"/>
              <w:left w:val="nil"/>
              <w:bottom w:val="single" w:sz="4" w:space="0" w:color="auto"/>
              <w:right w:val="single" w:sz="4" w:space="0" w:color="auto"/>
            </w:tcBorders>
            <w:shd w:val="clear" w:color="auto" w:fill="auto"/>
            <w:noWrap/>
            <w:vAlign w:val="bottom"/>
            <w:hideMark/>
          </w:tcPr>
          <w:p w14:paraId="034A75EA"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16.3</w:t>
            </w:r>
          </w:p>
        </w:tc>
        <w:tc>
          <w:tcPr>
            <w:tcW w:w="1300" w:type="dxa"/>
            <w:tcBorders>
              <w:top w:val="nil"/>
              <w:left w:val="nil"/>
              <w:bottom w:val="single" w:sz="4" w:space="0" w:color="auto"/>
              <w:right w:val="single" w:sz="4" w:space="0" w:color="auto"/>
            </w:tcBorders>
            <w:shd w:val="clear" w:color="auto" w:fill="auto"/>
            <w:noWrap/>
            <w:vAlign w:val="bottom"/>
            <w:hideMark/>
          </w:tcPr>
          <w:p w14:paraId="5A9A4449" w14:textId="77777777" w:rsidR="00A21985" w:rsidRPr="00A21985" w:rsidRDefault="00A21985" w:rsidP="00A21985">
            <w:pPr>
              <w:jc w:val="center"/>
              <w:rPr>
                <w:rFonts w:ascii="Times New Roman" w:eastAsia="Times New Roman" w:hAnsi="Times New Roman"/>
                <w:color w:val="000000"/>
                <w:sz w:val="20"/>
                <w:szCs w:val="20"/>
              </w:rPr>
            </w:pPr>
            <w:r w:rsidRPr="00A21985">
              <w:rPr>
                <w:rFonts w:ascii="Times New Roman" w:eastAsia="Times New Roman" w:hAnsi="Times New Roman"/>
                <w:color w:val="000000"/>
                <w:sz w:val="20"/>
                <w:szCs w:val="20"/>
              </w:rPr>
              <w:t>77%</w:t>
            </w:r>
          </w:p>
        </w:tc>
      </w:tr>
    </w:tbl>
    <w:p w14:paraId="34BD36F3" w14:textId="77777777" w:rsidR="00FD4036" w:rsidRPr="0010128E" w:rsidRDefault="00FD4036" w:rsidP="00A24340">
      <w:pPr>
        <w:rPr>
          <w:rFonts w:ascii="Times New Roman" w:hAnsi="Times New Roman"/>
          <w:sz w:val="24"/>
        </w:rPr>
      </w:pPr>
    </w:p>
    <w:sectPr w:rsidR="00FD4036" w:rsidRPr="0010128E" w:rsidSect="00AA0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5E67D" w14:textId="77777777" w:rsidR="00D472C0" w:rsidRDefault="00D472C0" w:rsidP="00EC2AEF">
      <w:r>
        <w:separator/>
      </w:r>
    </w:p>
  </w:endnote>
  <w:endnote w:type="continuationSeparator" w:id="0">
    <w:p w14:paraId="6CE336AE" w14:textId="77777777" w:rsidR="00D472C0" w:rsidRDefault="00D472C0" w:rsidP="00EC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C83D" w14:textId="77777777" w:rsidR="00D472C0" w:rsidRDefault="00D472C0" w:rsidP="007C3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6A4DF" w14:textId="77777777" w:rsidR="00D472C0" w:rsidRDefault="00D472C0" w:rsidP="006227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AAE98" w14:textId="77777777" w:rsidR="00D472C0" w:rsidRDefault="00D472C0" w:rsidP="007C3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54B">
      <w:rPr>
        <w:rStyle w:val="PageNumber"/>
        <w:noProof/>
      </w:rPr>
      <w:t>4</w:t>
    </w:r>
    <w:r>
      <w:rPr>
        <w:rStyle w:val="PageNumber"/>
      </w:rPr>
      <w:fldChar w:fldCharType="end"/>
    </w:r>
  </w:p>
  <w:p w14:paraId="5BF8A66E" w14:textId="77777777" w:rsidR="00D472C0" w:rsidRDefault="00D472C0" w:rsidP="0062275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079C" w14:textId="77777777" w:rsidR="00D472C0" w:rsidRDefault="00D472C0" w:rsidP="00EC2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2D34D" w14:textId="77777777" w:rsidR="00D472C0" w:rsidRDefault="00D472C0" w:rsidP="00EC2AEF">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537C" w14:textId="77777777" w:rsidR="00D472C0" w:rsidRDefault="00D472C0" w:rsidP="00EC2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54B">
      <w:rPr>
        <w:rStyle w:val="PageNumber"/>
        <w:noProof/>
      </w:rPr>
      <w:t>8</w:t>
    </w:r>
    <w:r>
      <w:rPr>
        <w:rStyle w:val="PageNumber"/>
      </w:rPr>
      <w:fldChar w:fldCharType="end"/>
    </w:r>
  </w:p>
  <w:p w14:paraId="6B527E5B" w14:textId="77777777" w:rsidR="00D472C0" w:rsidRDefault="00D472C0" w:rsidP="00EC2A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8698" w14:textId="77777777" w:rsidR="00D472C0" w:rsidRDefault="00D472C0" w:rsidP="00EC2AEF">
      <w:r>
        <w:separator/>
      </w:r>
    </w:p>
  </w:footnote>
  <w:footnote w:type="continuationSeparator" w:id="0">
    <w:p w14:paraId="18777C83" w14:textId="77777777" w:rsidR="00D472C0" w:rsidRDefault="00D472C0" w:rsidP="00EC2A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C2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906C01"/>
    <w:multiLevelType w:val="hybridMultilevel"/>
    <w:tmpl w:val="41FE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7261E"/>
    <w:multiLevelType w:val="hybridMultilevel"/>
    <w:tmpl w:val="A6EA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74EB8"/>
    <w:multiLevelType w:val="hybridMultilevel"/>
    <w:tmpl w:val="542C8B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1D381C"/>
    <w:multiLevelType w:val="hybridMultilevel"/>
    <w:tmpl w:val="B63A5E98"/>
    <w:lvl w:ilvl="0" w:tplc="718ED648">
      <w:start w:val="1"/>
      <w:numFmt w:val="bullet"/>
      <w:lvlText w:val="•"/>
      <w:lvlJc w:val="left"/>
      <w:pPr>
        <w:tabs>
          <w:tab w:val="num" w:pos="720"/>
        </w:tabs>
        <w:ind w:left="720" w:hanging="360"/>
      </w:pPr>
      <w:rPr>
        <w:rFonts w:ascii="Arial" w:hAnsi="Arial" w:hint="default"/>
      </w:rPr>
    </w:lvl>
    <w:lvl w:ilvl="1" w:tplc="47FA974E" w:tentative="1">
      <w:start w:val="1"/>
      <w:numFmt w:val="bullet"/>
      <w:lvlText w:val="•"/>
      <w:lvlJc w:val="left"/>
      <w:pPr>
        <w:tabs>
          <w:tab w:val="num" w:pos="1440"/>
        </w:tabs>
        <w:ind w:left="1440" w:hanging="360"/>
      </w:pPr>
      <w:rPr>
        <w:rFonts w:ascii="Arial" w:hAnsi="Arial" w:hint="default"/>
      </w:rPr>
    </w:lvl>
    <w:lvl w:ilvl="2" w:tplc="FFB429DE" w:tentative="1">
      <w:start w:val="1"/>
      <w:numFmt w:val="bullet"/>
      <w:lvlText w:val="•"/>
      <w:lvlJc w:val="left"/>
      <w:pPr>
        <w:tabs>
          <w:tab w:val="num" w:pos="2160"/>
        </w:tabs>
        <w:ind w:left="2160" w:hanging="360"/>
      </w:pPr>
      <w:rPr>
        <w:rFonts w:ascii="Arial" w:hAnsi="Arial" w:hint="default"/>
      </w:rPr>
    </w:lvl>
    <w:lvl w:ilvl="3" w:tplc="79CE2FF0" w:tentative="1">
      <w:start w:val="1"/>
      <w:numFmt w:val="bullet"/>
      <w:lvlText w:val="•"/>
      <w:lvlJc w:val="left"/>
      <w:pPr>
        <w:tabs>
          <w:tab w:val="num" w:pos="2880"/>
        </w:tabs>
        <w:ind w:left="2880" w:hanging="360"/>
      </w:pPr>
      <w:rPr>
        <w:rFonts w:ascii="Arial" w:hAnsi="Arial" w:hint="default"/>
      </w:rPr>
    </w:lvl>
    <w:lvl w:ilvl="4" w:tplc="91E2F3EA" w:tentative="1">
      <w:start w:val="1"/>
      <w:numFmt w:val="bullet"/>
      <w:lvlText w:val="•"/>
      <w:lvlJc w:val="left"/>
      <w:pPr>
        <w:tabs>
          <w:tab w:val="num" w:pos="3600"/>
        </w:tabs>
        <w:ind w:left="3600" w:hanging="360"/>
      </w:pPr>
      <w:rPr>
        <w:rFonts w:ascii="Arial" w:hAnsi="Arial" w:hint="default"/>
      </w:rPr>
    </w:lvl>
    <w:lvl w:ilvl="5" w:tplc="FB92C01A" w:tentative="1">
      <w:start w:val="1"/>
      <w:numFmt w:val="bullet"/>
      <w:lvlText w:val="•"/>
      <w:lvlJc w:val="left"/>
      <w:pPr>
        <w:tabs>
          <w:tab w:val="num" w:pos="4320"/>
        </w:tabs>
        <w:ind w:left="4320" w:hanging="360"/>
      </w:pPr>
      <w:rPr>
        <w:rFonts w:ascii="Arial" w:hAnsi="Arial" w:hint="default"/>
      </w:rPr>
    </w:lvl>
    <w:lvl w:ilvl="6" w:tplc="245C5D58" w:tentative="1">
      <w:start w:val="1"/>
      <w:numFmt w:val="bullet"/>
      <w:lvlText w:val="•"/>
      <w:lvlJc w:val="left"/>
      <w:pPr>
        <w:tabs>
          <w:tab w:val="num" w:pos="5040"/>
        </w:tabs>
        <w:ind w:left="5040" w:hanging="360"/>
      </w:pPr>
      <w:rPr>
        <w:rFonts w:ascii="Arial" w:hAnsi="Arial" w:hint="default"/>
      </w:rPr>
    </w:lvl>
    <w:lvl w:ilvl="7" w:tplc="62EA38B4" w:tentative="1">
      <w:start w:val="1"/>
      <w:numFmt w:val="bullet"/>
      <w:lvlText w:val="•"/>
      <w:lvlJc w:val="left"/>
      <w:pPr>
        <w:tabs>
          <w:tab w:val="num" w:pos="5760"/>
        </w:tabs>
        <w:ind w:left="5760" w:hanging="360"/>
      </w:pPr>
      <w:rPr>
        <w:rFonts w:ascii="Arial" w:hAnsi="Arial" w:hint="default"/>
      </w:rPr>
    </w:lvl>
    <w:lvl w:ilvl="8" w:tplc="BC3A7B70" w:tentative="1">
      <w:start w:val="1"/>
      <w:numFmt w:val="bullet"/>
      <w:lvlText w:val="•"/>
      <w:lvlJc w:val="left"/>
      <w:pPr>
        <w:tabs>
          <w:tab w:val="num" w:pos="6480"/>
        </w:tabs>
        <w:ind w:left="6480" w:hanging="360"/>
      </w:pPr>
      <w:rPr>
        <w:rFonts w:ascii="Arial" w:hAnsi="Arial" w:hint="default"/>
      </w:rPr>
    </w:lvl>
  </w:abstractNum>
  <w:abstractNum w:abstractNumId="5">
    <w:nsid w:val="52607A1F"/>
    <w:multiLevelType w:val="hybridMultilevel"/>
    <w:tmpl w:val="72360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F29AE"/>
    <w:multiLevelType w:val="hybridMultilevel"/>
    <w:tmpl w:val="798EA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2A74F8"/>
    <w:multiLevelType w:val="hybridMultilevel"/>
    <w:tmpl w:val="DD64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357B4"/>
    <w:multiLevelType w:val="multilevel"/>
    <w:tmpl w:val="D0C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86507C"/>
    <w:multiLevelType w:val="hybridMultilevel"/>
    <w:tmpl w:val="BF8C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50905"/>
    <w:multiLevelType w:val="multilevel"/>
    <w:tmpl w:val="89D43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F2408D"/>
    <w:multiLevelType w:val="multilevel"/>
    <w:tmpl w:val="58B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866795"/>
    <w:multiLevelType w:val="hybridMultilevel"/>
    <w:tmpl w:val="6EE2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4"/>
  </w:num>
  <w:num w:numId="6">
    <w:abstractNumId w:val="11"/>
  </w:num>
  <w:num w:numId="7">
    <w:abstractNumId w:val="12"/>
  </w:num>
  <w:num w:numId="8">
    <w:abstractNumId w:val="9"/>
  </w:num>
  <w:num w:numId="9">
    <w:abstractNumId w:val="3"/>
  </w:num>
  <w:num w:numId="10">
    <w:abstractNumId w:val="6"/>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B5"/>
    <w:rsid w:val="00000C3F"/>
    <w:rsid w:val="00001431"/>
    <w:rsid w:val="00011758"/>
    <w:rsid w:val="0001375D"/>
    <w:rsid w:val="00013862"/>
    <w:rsid w:val="000161F1"/>
    <w:rsid w:val="00016847"/>
    <w:rsid w:val="000169AC"/>
    <w:rsid w:val="00023362"/>
    <w:rsid w:val="00024556"/>
    <w:rsid w:val="00026307"/>
    <w:rsid w:val="00027EA2"/>
    <w:rsid w:val="00035BB4"/>
    <w:rsid w:val="00037DB3"/>
    <w:rsid w:val="0004266B"/>
    <w:rsid w:val="0005076C"/>
    <w:rsid w:val="000522B1"/>
    <w:rsid w:val="000537C4"/>
    <w:rsid w:val="00054FBD"/>
    <w:rsid w:val="000552E0"/>
    <w:rsid w:val="00060C19"/>
    <w:rsid w:val="00067691"/>
    <w:rsid w:val="00074353"/>
    <w:rsid w:val="00074951"/>
    <w:rsid w:val="000779F2"/>
    <w:rsid w:val="00080284"/>
    <w:rsid w:val="000814F4"/>
    <w:rsid w:val="00086502"/>
    <w:rsid w:val="00086C94"/>
    <w:rsid w:val="000907A2"/>
    <w:rsid w:val="0009747B"/>
    <w:rsid w:val="000A2AA3"/>
    <w:rsid w:val="000A3D79"/>
    <w:rsid w:val="000B370A"/>
    <w:rsid w:val="000B6A90"/>
    <w:rsid w:val="000C034E"/>
    <w:rsid w:val="000C294E"/>
    <w:rsid w:val="000C45DD"/>
    <w:rsid w:val="000D3DBF"/>
    <w:rsid w:val="000E33E6"/>
    <w:rsid w:val="000E381F"/>
    <w:rsid w:val="000E4E78"/>
    <w:rsid w:val="000E640F"/>
    <w:rsid w:val="000E7BC5"/>
    <w:rsid w:val="000F1CA6"/>
    <w:rsid w:val="000F204A"/>
    <w:rsid w:val="0010128E"/>
    <w:rsid w:val="001039E5"/>
    <w:rsid w:val="0010715B"/>
    <w:rsid w:val="001206DD"/>
    <w:rsid w:val="00122259"/>
    <w:rsid w:val="00141F0D"/>
    <w:rsid w:val="00153AB7"/>
    <w:rsid w:val="0015706A"/>
    <w:rsid w:val="00162635"/>
    <w:rsid w:val="00164CC0"/>
    <w:rsid w:val="00166412"/>
    <w:rsid w:val="00182F58"/>
    <w:rsid w:val="0019401E"/>
    <w:rsid w:val="0019567F"/>
    <w:rsid w:val="001A687F"/>
    <w:rsid w:val="001B3EEA"/>
    <w:rsid w:val="001C21EE"/>
    <w:rsid w:val="001C269C"/>
    <w:rsid w:val="001C6E99"/>
    <w:rsid w:val="001C7084"/>
    <w:rsid w:val="001D4F87"/>
    <w:rsid w:val="001D61AE"/>
    <w:rsid w:val="001E1DD7"/>
    <w:rsid w:val="001E4D7E"/>
    <w:rsid w:val="001E7DC2"/>
    <w:rsid w:val="001F03D0"/>
    <w:rsid w:val="001F0D5C"/>
    <w:rsid w:val="001F2280"/>
    <w:rsid w:val="001F2E51"/>
    <w:rsid w:val="001F7298"/>
    <w:rsid w:val="001F75B1"/>
    <w:rsid w:val="0020193C"/>
    <w:rsid w:val="00204051"/>
    <w:rsid w:val="00211F61"/>
    <w:rsid w:val="0021445A"/>
    <w:rsid w:val="00216909"/>
    <w:rsid w:val="00216ED6"/>
    <w:rsid w:val="00220F5B"/>
    <w:rsid w:val="002234F9"/>
    <w:rsid w:val="00224312"/>
    <w:rsid w:val="00224D6B"/>
    <w:rsid w:val="0022784C"/>
    <w:rsid w:val="00232B2A"/>
    <w:rsid w:val="002337AF"/>
    <w:rsid w:val="002440CD"/>
    <w:rsid w:val="00247636"/>
    <w:rsid w:val="00247ED7"/>
    <w:rsid w:val="0025205A"/>
    <w:rsid w:val="00265B7F"/>
    <w:rsid w:val="00266D14"/>
    <w:rsid w:val="002719C3"/>
    <w:rsid w:val="00275C8D"/>
    <w:rsid w:val="0027649A"/>
    <w:rsid w:val="0028032B"/>
    <w:rsid w:val="0029744D"/>
    <w:rsid w:val="002A0989"/>
    <w:rsid w:val="002A0C69"/>
    <w:rsid w:val="002A0DF4"/>
    <w:rsid w:val="002A6A36"/>
    <w:rsid w:val="002B20BA"/>
    <w:rsid w:val="002B5212"/>
    <w:rsid w:val="002C178D"/>
    <w:rsid w:val="002C7264"/>
    <w:rsid w:val="002D163B"/>
    <w:rsid w:val="002D4710"/>
    <w:rsid w:val="002E3E35"/>
    <w:rsid w:val="002F18FD"/>
    <w:rsid w:val="002F3D48"/>
    <w:rsid w:val="002F7501"/>
    <w:rsid w:val="00300A7A"/>
    <w:rsid w:val="00304E7A"/>
    <w:rsid w:val="003117E5"/>
    <w:rsid w:val="00316302"/>
    <w:rsid w:val="00317B32"/>
    <w:rsid w:val="003224D6"/>
    <w:rsid w:val="00325CA6"/>
    <w:rsid w:val="00330E45"/>
    <w:rsid w:val="00333678"/>
    <w:rsid w:val="00335DA9"/>
    <w:rsid w:val="00335F70"/>
    <w:rsid w:val="00347947"/>
    <w:rsid w:val="00347B60"/>
    <w:rsid w:val="00347E2D"/>
    <w:rsid w:val="003525BE"/>
    <w:rsid w:val="00353AA9"/>
    <w:rsid w:val="003616A8"/>
    <w:rsid w:val="00366DBD"/>
    <w:rsid w:val="00366F3A"/>
    <w:rsid w:val="00371B78"/>
    <w:rsid w:val="003744E7"/>
    <w:rsid w:val="00375FC2"/>
    <w:rsid w:val="00383049"/>
    <w:rsid w:val="00383457"/>
    <w:rsid w:val="00383B32"/>
    <w:rsid w:val="00393683"/>
    <w:rsid w:val="0039454B"/>
    <w:rsid w:val="00395560"/>
    <w:rsid w:val="0039576F"/>
    <w:rsid w:val="00396A13"/>
    <w:rsid w:val="003970C2"/>
    <w:rsid w:val="003A4A2B"/>
    <w:rsid w:val="003A679D"/>
    <w:rsid w:val="003B622D"/>
    <w:rsid w:val="003C6401"/>
    <w:rsid w:val="003C64CB"/>
    <w:rsid w:val="003D1BB4"/>
    <w:rsid w:val="003D4AE1"/>
    <w:rsid w:val="003D53DD"/>
    <w:rsid w:val="003D7CCA"/>
    <w:rsid w:val="003E0E3E"/>
    <w:rsid w:val="003E3F5B"/>
    <w:rsid w:val="003E63C6"/>
    <w:rsid w:val="003F056F"/>
    <w:rsid w:val="003F05A6"/>
    <w:rsid w:val="003F1B3D"/>
    <w:rsid w:val="003F5A93"/>
    <w:rsid w:val="00402EB6"/>
    <w:rsid w:val="004033E6"/>
    <w:rsid w:val="004137EB"/>
    <w:rsid w:val="00421BDA"/>
    <w:rsid w:val="004267F5"/>
    <w:rsid w:val="00430555"/>
    <w:rsid w:val="00431767"/>
    <w:rsid w:val="0043243C"/>
    <w:rsid w:val="00451524"/>
    <w:rsid w:val="004532FE"/>
    <w:rsid w:val="0045438F"/>
    <w:rsid w:val="00456EA8"/>
    <w:rsid w:val="004573A0"/>
    <w:rsid w:val="00467FC2"/>
    <w:rsid w:val="00474638"/>
    <w:rsid w:val="00477D97"/>
    <w:rsid w:val="00480062"/>
    <w:rsid w:val="004809A8"/>
    <w:rsid w:val="00480B42"/>
    <w:rsid w:val="00481124"/>
    <w:rsid w:val="00483440"/>
    <w:rsid w:val="00485825"/>
    <w:rsid w:val="0048634C"/>
    <w:rsid w:val="004A0004"/>
    <w:rsid w:val="004A3366"/>
    <w:rsid w:val="004A43D3"/>
    <w:rsid w:val="004A4B6E"/>
    <w:rsid w:val="004A539F"/>
    <w:rsid w:val="004A628E"/>
    <w:rsid w:val="004B0C3C"/>
    <w:rsid w:val="004B266F"/>
    <w:rsid w:val="004B2713"/>
    <w:rsid w:val="004B44F9"/>
    <w:rsid w:val="004B7721"/>
    <w:rsid w:val="004C04D9"/>
    <w:rsid w:val="004C3EE7"/>
    <w:rsid w:val="004C6EED"/>
    <w:rsid w:val="004D192B"/>
    <w:rsid w:val="004E23E1"/>
    <w:rsid w:val="004E3F2B"/>
    <w:rsid w:val="004E41A5"/>
    <w:rsid w:val="004F2474"/>
    <w:rsid w:val="004F65A8"/>
    <w:rsid w:val="004F71F1"/>
    <w:rsid w:val="0050263A"/>
    <w:rsid w:val="00504801"/>
    <w:rsid w:val="00504E70"/>
    <w:rsid w:val="00507860"/>
    <w:rsid w:val="00512680"/>
    <w:rsid w:val="00514133"/>
    <w:rsid w:val="0051625F"/>
    <w:rsid w:val="00521C1F"/>
    <w:rsid w:val="005224F2"/>
    <w:rsid w:val="00526DE7"/>
    <w:rsid w:val="00534F9B"/>
    <w:rsid w:val="005364C0"/>
    <w:rsid w:val="00537D9C"/>
    <w:rsid w:val="005432EB"/>
    <w:rsid w:val="00552978"/>
    <w:rsid w:val="00553534"/>
    <w:rsid w:val="005567A6"/>
    <w:rsid w:val="0057337C"/>
    <w:rsid w:val="00587983"/>
    <w:rsid w:val="00593253"/>
    <w:rsid w:val="005954B6"/>
    <w:rsid w:val="005A1369"/>
    <w:rsid w:val="005A325B"/>
    <w:rsid w:val="005A57E8"/>
    <w:rsid w:val="005B1AF7"/>
    <w:rsid w:val="005C2F6A"/>
    <w:rsid w:val="005D0DE9"/>
    <w:rsid w:val="005D3311"/>
    <w:rsid w:val="005D3E11"/>
    <w:rsid w:val="005D5FB9"/>
    <w:rsid w:val="005E30CB"/>
    <w:rsid w:val="005F0C95"/>
    <w:rsid w:val="005F41C3"/>
    <w:rsid w:val="005F4B1F"/>
    <w:rsid w:val="00603451"/>
    <w:rsid w:val="00605438"/>
    <w:rsid w:val="00606B67"/>
    <w:rsid w:val="0061060E"/>
    <w:rsid w:val="006122DA"/>
    <w:rsid w:val="00612CDA"/>
    <w:rsid w:val="00613D31"/>
    <w:rsid w:val="00621FCD"/>
    <w:rsid w:val="00622758"/>
    <w:rsid w:val="00624936"/>
    <w:rsid w:val="00630A37"/>
    <w:rsid w:val="00631622"/>
    <w:rsid w:val="00632DF2"/>
    <w:rsid w:val="006376F9"/>
    <w:rsid w:val="00637B5A"/>
    <w:rsid w:val="00641E8F"/>
    <w:rsid w:val="00642F4A"/>
    <w:rsid w:val="00645CD8"/>
    <w:rsid w:val="00652B5C"/>
    <w:rsid w:val="00653EB3"/>
    <w:rsid w:val="00654D1D"/>
    <w:rsid w:val="00657796"/>
    <w:rsid w:val="00660CBC"/>
    <w:rsid w:val="0066131E"/>
    <w:rsid w:val="00662A08"/>
    <w:rsid w:val="00663C46"/>
    <w:rsid w:val="0066455A"/>
    <w:rsid w:val="00665D43"/>
    <w:rsid w:val="00666367"/>
    <w:rsid w:val="00673E39"/>
    <w:rsid w:val="006750B7"/>
    <w:rsid w:val="00677770"/>
    <w:rsid w:val="00680898"/>
    <w:rsid w:val="0068112C"/>
    <w:rsid w:val="00683C9A"/>
    <w:rsid w:val="006853E7"/>
    <w:rsid w:val="006878FC"/>
    <w:rsid w:val="00695B42"/>
    <w:rsid w:val="006A3081"/>
    <w:rsid w:val="006A64D1"/>
    <w:rsid w:val="006A6C52"/>
    <w:rsid w:val="006B7A90"/>
    <w:rsid w:val="006C20BA"/>
    <w:rsid w:val="006D0406"/>
    <w:rsid w:val="006D10AF"/>
    <w:rsid w:val="006D118E"/>
    <w:rsid w:val="006E34E8"/>
    <w:rsid w:val="006E63D7"/>
    <w:rsid w:val="006F10DC"/>
    <w:rsid w:val="006F2589"/>
    <w:rsid w:val="00700E17"/>
    <w:rsid w:val="007023B1"/>
    <w:rsid w:val="007037A0"/>
    <w:rsid w:val="00706065"/>
    <w:rsid w:val="00711846"/>
    <w:rsid w:val="00732435"/>
    <w:rsid w:val="00733494"/>
    <w:rsid w:val="007349CC"/>
    <w:rsid w:val="00736653"/>
    <w:rsid w:val="00741602"/>
    <w:rsid w:val="00744110"/>
    <w:rsid w:val="007573E6"/>
    <w:rsid w:val="00766C4A"/>
    <w:rsid w:val="00771298"/>
    <w:rsid w:val="007716E0"/>
    <w:rsid w:val="0077561B"/>
    <w:rsid w:val="0077621F"/>
    <w:rsid w:val="0078556A"/>
    <w:rsid w:val="007973E1"/>
    <w:rsid w:val="007A42CF"/>
    <w:rsid w:val="007B4473"/>
    <w:rsid w:val="007B5E18"/>
    <w:rsid w:val="007C2B20"/>
    <w:rsid w:val="007C3F41"/>
    <w:rsid w:val="007C47CD"/>
    <w:rsid w:val="007D25E7"/>
    <w:rsid w:val="007D3EE1"/>
    <w:rsid w:val="007D4CC2"/>
    <w:rsid w:val="007E2237"/>
    <w:rsid w:val="007E7FAF"/>
    <w:rsid w:val="007F0DE5"/>
    <w:rsid w:val="007F3A76"/>
    <w:rsid w:val="008003FF"/>
    <w:rsid w:val="00803812"/>
    <w:rsid w:val="008064D6"/>
    <w:rsid w:val="008115C8"/>
    <w:rsid w:val="00814FB5"/>
    <w:rsid w:val="00817D82"/>
    <w:rsid w:val="00823F01"/>
    <w:rsid w:val="008241F2"/>
    <w:rsid w:val="0082554D"/>
    <w:rsid w:val="00827CCB"/>
    <w:rsid w:val="0083076D"/>
    <w:rsid w:val="008325B6"/>
    <w:rsid w:val="008342C0"/>
    <w:rsid w:val="00847B10"/>
    <w:rsid w:val="0085447F"/>
    <w:rsid w:val="00861E8C"/>
    <w:rsid w:val="00862954"/>
    <w:rsid w:val="008642DA"/>
    <w:rsid w:val="00864CD1"/>
    <w:rsid w:val="0086628F"/>
    <w:rsid w:val="00872EF0"/>
    <w:rsid w:val="00874FD4"/>
    <w:rsid w:val="00880537"/>
    <w:rsid w:val="008827F5"/>
    <w:rsid w:val="008905B0"/>
    <w:rsid w:val="008939AF"/>
    <w:rsid w:val="00895B22"/>
    <w:rsid w:val="00897379"/>
    <w:rsid w:val="008B0C63"/>
    <w:rsid w:val="008B11EA"/>
    <w:rsid w:val="008B3D81"/>
    <w:rsid w:val="008B4399"/>
    <w:rsid w:val="008C1A2E"/>
    <w:rsid w:val="008C43C2"/>
    <w:rsid w:val="008D7AA2"/>
    <w:rsid w:val="008E0A68"/>
    <w:rsid w:val="008E105C"/>
    <w:rsid w:val="008E1613"/>
    <w:rsid w:val="008E40AD"/>
    <w:rsid w:val="008E54EF"/>
    <w:rsid w:val="008F0333"/>
    <w:rsid w:val="008F6465"/>
    <w:rsid w:val="0090318F"/>
    <w:rsid w:val="00904AE5"/>
    <w:rsid w:val="00906B03"/>
    <w:rsid w:val="009149BC"/>
    <w:rsid w:val="00914D9E"/>
    <w:rsid w:val="009174E4"/>
    <w:rsid w:val="0092194D"/>
    <w:rsid w:val="00926EE1"/>
    <w:rsid w:val="00927391"/>
    <w:rsid w:val="00931745"/>
    <w:rsid w:val="00932B1F"/>
    <w:rsid w:val="009332A8"/>
    <w:rsid w:val="00937746"/>
    <w:rsid w:val="00941B41"/>
    <w:rsid w:val="00941F33"/>
    <w:rsid w:val="00944A9C"/>
    <w:rsid w:val="00946F9A"/>
    <w:rsid w:val="0094787C"/>
    <w:rsid w:val="00962195"/>
    <w:rsid w:val="009635D8"/>
    <w:rsid w:val="00964B7C"/>
    <w:rsid w:val="00966A7E"/>
    <w:rsid w:val="00977772"/>
    <w:rsid w:val="0098052A"/>
    <w:rsid w:val="009836B7"/>
    <w:rsid w:val="0098609F"/>
    <w:rsid w:val="009860EF"/>
    <w:rsid w:val="0098616B"/>
    <w:rsid w:val="00986EF6"/>
    <w:rsid w:val="00987DD8"/>
    <w:rsid w:val="00993DD8"/>
    <w:rsid w:val="009A073C"/>
    <w:rsid w:val="009A19CA"/>
    <w:rsid w:val="009A6379"/>
    <w:rsid w:val="009B371E"/>
    <w:rsid w:val="009C09E2"/>
    <w:rsid w:val="009C5EF9"/>
    <w:rsid w:val="009C66BE"/>
    <w:rsid w:val="009D142C"/>
    <w:rsid w:val="009D1EA0"/>
    <w:rsid w:val="009D2B09"/>
    <w:rsid w:val="00A023DE"/>
    <w:rsid w:val="00A0411C"/>
    <w:rsid w:val="00A04ABD"/>
    <w:rsid w:val="00A12919"/>
    <w:rsid w:val="00A15F7D"/>
    <w:rsid w:val="00A17573"/>
    <w:rsid w:val="00A179C6"/>
    <w:rsid w:val="00A213DE"/>
    <w:rsid w:val="00A21985"/>
    <w:rsid w:val="00A23364"/>
    <w:rsid w:val="00A23F9A"/>
    <w:rsid w:val="00A24340"/>
    <w:rsid w:val="00A2710B"/>
    <w:rsid w:val="00A3094E"/>
    <w:rsid w:val="00A310E7"/>
    <w:rsid w:val="00A31209"/>
    <w:rsid w:val="00A35C46"/>
    <w:rsid w:val="00A367C0"/>
    <w:rsid w:val="00A432B3"/>
    <w:rsid w:val="00A45B4C"/>
    <w:rsid w:val="00A45F8A"/>
    <w:rsid w:val="00A52BF4"/>
    <w:rsid w:val="00A601E6"/>
    <w:rsid w:val="00A6485B"/>
    <w:rsid w:val="00A7406A"/>
    <w:rsid w:val="00A834E0"/>
    <w:rsid w:val="00A83C93"/>
    <w:rsid w:val="00A903D2"/>
    <w:rsid w:val="00A90742"/>
    <w:rsid w:val="00A90EE4"/>
    <w:rsid w:val="00A92630"/>
    <w:rsid w:val="00A92DB6"/>
    <w:rsid w:val="00A968C5"/>
    <w:rsid w:val="00A969D8"/>
    <w:rsid w:val="00AA04D1"/>
    <w:rsid w:val="00AA077E"/>
    <w:rsid w:val="00AA186E"/>
    <w:rsid w:val="00AA387F"/>
    <w:rsid w:val="00AB4988"/>
    <w:rsid w:val="00AC5332"/>
    <w:rsid w:val="00AD14FE"/>
    <w:rsid w:val="00AD7500"/>
    <w:rsid w:val="00AE089D"/>
    <w:rsid w:val="00AE1561"/>
    <w:rsid w:val="00AE4ABF"/>
    <w:rsid w:val="00AF30D4"/>
    <w:rsid w:val="00AF6786"/>
    <w:rsid w:val="00B01A75"/>
    <w:rsid w:val="00B03F32"/>
    <w:rsid w:val="00B10F5A"/>
    <w:rsid w:val="00B147C4"/>
    <w:rsid w:val="00B15801"/>
    <w:rsid w:val="00B21325"/>
    <w:rsid w:val="00B23589"/>
    <w:rsid w:val="00B25160"/>
    <w:rsid w:val="00B264DF"/>
    <w:rsid w:val="00B27C6C"/>
    <w:rsid w:val="00B31A14"/>
    <w:rsid w:val="00B3532B"/>
    <w:rsid w:val="00B3545A"/>
    <w:rsid w:val="00B46355"/>
    <w:rsid w:val="00B476E3"/>
    <w:rsid w:val="00B51637"/>
    <w:rsid w:val="00B6243B"/>
    <w:rsid w:val="00B67042"/>
    <w:rsid w:val="00B7232A"/>
    <w:rsid w:val="00B76265"/>
    <w:rsid w:val="00B8188D"/>
    <w:rsid w:val="00B83ABA"/>
    <w:rsid w:val="00B85476"/>
    <w:rsid w:val="00B86426"/>
    <w:rsid w:val="00B869B4"/>
    <w:rsid w:val="00B91C89"/>
    <w:rsid w:val="00B93468"/>
    <w:rsid w:val="00B93D19"/>
    <w:rsid w:val="00BA1E0F"/>
    <w:rsid w:val="00BA3BCC"/>
    <w:rsid w:val="00BA45CC"/>
    <w:rsid w:val="00BA563B"/>
    <w:rsid w:val="00BA6AD3"/>
    <w:rsid w:val="00BB6CA0"/>
    <w:rsid w:val="00BB6DDC"/>
    <w:rsid w:val="00BC222B"/>
    <w:rsid w:val="00BC2C3F"/>
    <w:rsid w:val="00BC34A6"/>
    <w:rsid w:val="00BD4068"/>
    <w:rsid w:val="00BD7005"/>
    <w:rsid w:val="00BE54E4"/>
    <w:rsid w:val="00C02376"/>
    <w:rsid w:val="00C0713D"/>
    <w:rsid w:val="00C12F63"/>
    <w:rsid w:val="00C14690"/>
    <w:rsid w:val="00C161D1"/>
    <w:rsid w:val="00C216DF"/>
    <w:rsid w:val="00C23A2B"/>
    <w:rsid w:val="00C2650F"/>
    <w:rsid w:val="00C330D5"/>
    <w:rsid w:val="00C33627"/>
    <w:rsid w:val="00C36780"/>
    <w:rsid w:val="00C458D4"/>
    <w:rsid w:val="00C57E0B"/>
    <w:rsid w:val="00C61861"/>
    <w:rsid w:val="00C651E6"/>
    <w:rsid w:val="00C77483"/>
    <w:rsid w:val="00C91117"/>
    <w:rsid w:val="00C91995"/>
    <w:rsid w:val="00C94AEC"/>
    <w:rsid w:val="00C9653B"/>
    <w:rsid w:val="00CA0181"/>
    <w:rsid w:val="00CA07E9"/>
    <w:rsid w:val="00CA0FB6"/>
    <w:rsid w:val="00CA2864"/>
    <w:rsid w:val="00CA3E37"/>
    <w:rsid w:val="00CA4FAA"/>
    <w:rsid w:val="00CB01DB"/>
    <w:rsid w:val="00CB0BE2"/>
    <w:rsid w:val="00CB463C"/>
    <w:rsid w:val="00CB592B"/>
    <w:rsid w:val="00CB74BB"/>
    <w:rsid w:val="00CC0607"/>
    <w:rsid w:val="00CC22AF"/>
    <w:rsid w:val="00CC2D2F"/>
    <w:rsid w:val="00CC474C"/>
    <w:rsid w:val="00CC71A8"/>
    <w:rsid w:val="00CD41E9"/>
    <w:rsid w:val="00CD59B4"/>
    <w:rsid w:val="00CD6DFD"/>
    <w:rsid w:val="00CD7B7B"/>
    <w:rsid w:val="00CE4C97"/>
    <w:rsid w:val="00CE78DA"/>
    <w:rsid w:val="00CF326F"/>
    <w:rsid w:val="00CF3BE8"/>
    <w:rsid w:val="00D00E56"/>
    <w:rsid w:val="00D02271"/>
    <w:rsid w:val="00D03610"/>
    <w:rsid w:val="00D0494D"/>
    <w:rsid w:val="00D07781"/>
    <w:rsid w:val="00D12B75"/>
    <w:rsid w:val="00D12F76"/>
    <w:rsid w:val="00D1683A"/>
    <w:rsid w:val="00D20F8F"/>
    <w:rsid w:val="00D22BEB"/>
    <w:rsid w:val="00D26347"/>
    <w:rsid w:val="00D274B9"/>
    <w:rsid w:val="00D3774C"/>
    <w:rsid w:val="00D40D4D"/>
    <w:rsid w:val="00D472C0"/>
    <w:rsid w:val="00D53908"/>
    <w:rsid w:val="00D5525D"/>
    <w:rsid w:val="00D66A3D"/>
    <w:rsid w:val="00D675E4"/>
    <w:rsid w:val="00D67993"/>
    <w:rsid w:val="00D708FA"/>
    <w:rsid w:val="00D72B0D"/>
    <w:rsid w:val="00D74CC0"/>
    <w:rsid w:val="00D803C8"/>
    <w:rsid w:val="00D84AC0"/>
    <w:rsid w:val="00D85256"/>
    <w:rsid w:val="00D92F61"/>
    <w:rsid w:val="00DA35D7"/>
    <w:rsid w:val="00DB0152"/>
    <w:rsid w:val="00DB0993"/>
    <w:rsid w:val="00DB3274"/>
    <w:rsid w:val="00DB3295"/>
    <w:rsid w:val="00DB66E7"/>
    <w:rsid w:val="00DB6AD6"/>
    <w:rsid w:val="00DC52E2"/>
    <w:rsid w:val="00DD6546"/>
    <w:rsid w:val="00DE0040"/>
    <w:rsid w:val="00DE4FA9"/>
    <w:rsid w:val="00E03C2B"/>
    <w:rsid w:val="00E055AF"/>
    <w:rsid w:val="00E070A3"/>
    <w:rsid w:val="00E14841"/>
    <w:rsid w:val="00E20B11"/>
    <w:rsid w:val="00E236AA"/>
    <w:rsid w:val="00E27F16"/>
    <w:rsid w:val="00E33078"/>
    <w:rsid w:val="00E361B4"/>
    <w:rsid w:val="00E404BB"/>
    <w:rsid w:val="00E44ADB"/>
    <w:rsid w:val="00E45536"/>
    <w:rsid w:val="00E45642"/>
    <w:rsid w:val="00E5761D"/>
    <w:rsid w:val="00E626C7"/>
    <w:rsid w:val="00E65FE6"/>
    <w:rsid w:val="00E76B0F"/>
    <w:rsid w:val="00E771D5"/>
    <w:rsid w:val="00E77F35"/>
    <w:rsid w:val="00E86444"/>
    <w:rsid w:val="00E87A36"/>
    <w:rsid w:val="00E96DBA"/>
    <w:rsid w:val="00EA0178"/>
    <w:rsid w:val="00EB053B"/>
    <w:rsid w:val="00EB197E"/>
    <w:rsid w:val="00EB3793"/>
    <w:rsid w:val="00EB49B0"/>
    <w:rsid w:val="00EB6801"/>
    <w:rsid w:val="00EC1717"/>
    <w:rsid w:val="00EC28BA"/>
    <w:rsid w:val="00EC2AEF"/>
    <w:rsid w:val="00EC4E51"/>
    <w:rsid w:val="00EC603F"/>
    <w:rsid w:val="00ED0913"/>
    <w:rsid w:val="00ED0A3E"/>
    <w:rsid w:val="00ED2BE2"/>
    <w:rsid w:val="00ED57CC"/>
    <w:rsid w:val="00EE4841"/>
    <w:rsid w:val="00EE4ED7"/>
    <w:rsid w:val="00EF0718"/>
    <w:rsid w:val="00EF28A7"/>
    <w:rsid w:val="00EF5824"/>
    <w:rsid w:val="00EF750B"/>
    <w:rsid w:val="00EF78ED"/>
    <w:rsid w:val="00F052E4"/>
    <w:rsid w:val="00F1130A"/>
    <w:rsid w:val="00F3743B"/>
    <w:rsid w:val="00F40CE9"/>
    <w:rsid w:val="00F4316F"/>
    <w:rsid w:val="00F52932"/>
    <w:rsid w:val="00F533D6"/>
    <w:rsid w:val="00F5764B"/>
    <w:rsid w:val="00F5795F"/>
    <w:rsid w:val="00F61660"/>
    <w:rsid w:val="00F63029"/>
    <w:rsid w:val="00F64C84"/>
    <w:rsid w:val="00F7740D"/>
    <w:rsid w:val="00F830D0"/>
    <w:rsid w:val="00FA0128"/>
    <w:rsid w:val="00FA206B"/>
    <w:rsid w:val="00FA5A34"/>
    <w:rsid w:val="00FB0A71"/>
    <w:rsid w:val="00FB2DB7"/>
    <w:rsid w:val="00FB514F"/>
    <w:rsid w:val="00FB6B80"/>
    <w:rsid w:val="00FC234E"/>
    <w:rsid w:val="00FC619B"/>
    <w:rsid w:val="00FC6AD7"/>
    <w:rsid w:val="00FC70D2"/>
    <w:rsid w:val="00FC79D7"/>
    <w:rsid w:val="00FD26E9"/>
    <w:rsid w:val="00FD3B3E"/>
    <w:rsid w:val="00FD4036"/>
    <w:rsid w:val="00FE26F0"/>
    <w:rsid w:val="00FE464A"/>
    <w:rsid w:val="00FE4F8F"/>
    <w:rsid w:val="00FF16DF"/>
    <w:rsid w:val="00FF3B1B"/>
    <w:rsid w:val="00FF4ECA"/>
    <w:rsid w:val="00FF55F8"/>
    <w:rsid w:val="00FF64EB"/>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79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5"/>
    <w:rPr>
      <w:rFonts w:ascii="Times" w:hAnsi="Times"/>
      <w:sz w:val="22"/>
      <w:szCs w:val="24"/>
    </w:rPr>
  </w:style>
  <w:style w:type="paragraph" w:styleId="Heading1">
    <w:name w:val="heading 1"/>
    <w:basedOn w:val="Normal"/>
    <w:next w:val="Normal"/>
    <w:link w:val="Heading1Char"/>
    <w:autoRedefine/>
    <w:uiPriority w:val="9"/>
    <w:qFormat/>
    <w:rsid w:val="00895B22"/>
    <w:pPr>
      <w:keepNext/>
      <w:keepLines/>
      <w:spacing w:before="240" w:line="480" w:lineRule="auto"/>
      <w:jc w:val="center"/>
      <w:outlineLvl w:val="0"/>
    </w:pPr>
    <w:rPr>
      <w:rFonts w:eastAsia="MS Gothic"/>
      <w:b/>
      <w:bCs/>
      <w:sz w:val="28"/>
    </w:rPr>
  </w:style>
  <w:style w:type="paragraph" w:styleId="Heading2">
    <w:name w:val="heading 2"/>
    <w:basedOn w:val="Normal"/>
    <w:next w:val="Normal"/>
    <w:link w:val="Heading2Char"/>
    <w:uiPriority w:val="9"/>
    <w:unhideWhenUsed/>
    <w:qFormat/>
    <w:rsid w:val="005D3E11"/>
    <w:pPr>
      <w:keepLines/>
      <w:spacing w:before="200"/>
      <w:outlineLvl w:val="1"/>
    </w:pPr>
    <w:rPr>
      <w:rFonts w:ascii="Times New Roman" w:eastAsia="MS Gothic" w:hAnsi="Times New Roman"/>
      <w:b/>
      <w:bCs/>
      <w:sz w:val="24"/>
    </w:rPr>
  </w:style>
  <w:style w:type="paragraph" w:styleId="Heading3">
    <w:name w:val="heading 3"/>
    <w:basedOn w:val="Normal"/>
    <w:next w:val="Normal"/>
    <w:link w:val="Heading3Char"/>
    <w:uiPriority w:val="9"/>
    <w:unhideWhenUsed/>
    <w:qFormat/>
    <w:rsid w:val="00B93D19"/>
    <w:pPr>
      <w:keepNext/>
      <w:keepLines/>
      <w:spacing w:before="200"/>
      <w:outlineLvl w:val="2"/>
    </w:pPr>
    <w:rPr>
      <w:rFonts w:eastAsia="MS Gothic"/>
      <w:b/>
      <w:bCs/>
      <w:i/>
      <w:sz w:val="24"/>
    </w:rPr>
  </w:style>
  <w:style w:type="paragraph" w:styleId="Heading4">
    <w:name w:val="heading 4"/>
    <w:basedOn w:val="Normal"/>
    <w:next w:val="Normal"/>
    <w:link w:val="Heading4Char"/>
    <w:uiPriority w:val="9"/>
    <w:semiHidden/>
    <w:unhideWhenUsed/>
    <w:qFormat/>
    <w:rsid w:val="001F03D0"/>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D3E11"/>
    <w:rPr>
      <w:rFonts w:ascii="Times New Roman" w:eastAsia="MS Gothic" w:hAnsi="Times New Roman" w:cs="Times New Roman"/>
      <w:b/>
      <w:bCs/>
    </w:rPr>
  </w:style>
  <w:style w:type="character" w:customStyle="1" w:styleId="Heading1Char">
    <w:name w:val="Heading 1 Char"/>
    <w:link w:val="Heading1"/>
    <w:uiPriority w:val="9"/>
    <w:rsid w:val="00895B22"/>
    <w:rPr>
      <w:rFonts w:ascii="Times" w:eastAsia="MS Gothic" w:hAnsi="Times"/>
      <w:b/>
      <w:bCs/>
      <w:sz w:val="28"/>
      <w:szCs w:val="24"/>
    </w:rPr>
  </w:style>
  <w:style w:type="paragraph" w:styleId="ListParagraph">
    <w:name w:val="List Paragraph"/>
    <w:basedOn w:val="Normal"/>
    <w:uiPriority w:val="34"/>
    <w:qFormat/>
    <w:rsid w:val="00814FB5"/>
    <w:pPr>
      <w:ind w:left="720"/>
      <w:contextualSpacing/>
    </w:pPr>
  </w:style>
  <w:style w:type="character" w:customStyle="1" w:styleId="Heading3Char">
    <w:name w:val="Heading 3 Char"/>
    <w:link w:val="Heading3"/>
    <w:uiPriority w:val="9"/>
    <w:rsid w:val="00B93D19"/>
    <w:rPr>
      <w:rFonts w:ascii="Times" w:eastAsia="MS Gothic" w:hAnsi="Times"/>
      <w:b/>
      <w:bCs/>
      <w:i/>
      <w:sz w:val="24"/>
      <w:szCs w:val="24"/>
    </w:rPr>
  </w:style>
  <w:style w:type="paragraph" w:styleId="BalloonText">
    <w:name w:val="Balloon Text"/>
    <w:basedOn w:val="Normal"/>
    <w:link w:val="BalloonTextChar"/>
    <w:uiPriority w:val="99"/>
    <w:semiHidden/>
    <w:unhideWhenUsed/>
    <w:rsid w:val="0001375D"/>
    <w:rPr>
      <w:rFonts w:ascii="Lucida Grande" w:hAnsi="Lucida Grande" w:cs="Lucida Grande"/>
      <w:sz w:val="18"/>
      <w:szCs w:val="18"/>
    </w:rPr>
  </w:style>
  <w:style w:type="character" w:customStyle="1" w:styleId="BalloonTextChar">
    <w:name w:val="Balloon Text Char"/>
    <w:link w:val="BalloonText"/>
    <w:uiPriority w:val="99"/>
    <w:semiHidden/>
    <w:rsid w:val="0001375D"/>
    <w:rPr>
      <w:rFonts w:ascii="Lucida Grande" w:hAnsi="Lucida Grande" w:cs="Lucida Grande"/>
      <w:sz w:val="18"/>
      <w:szCs w:val="18"/>
    </w:rPr>
  </w:style>
  <w:style w:type="character" w:styleId="Hyperlink">
    <w:name w:val="Hyperlink"/>
    <w:uiPriority w:val="99"/>
    <w:semiHidden/>
    <w:unhideWhenUsed/>
    <w:rsid w:val="00603451"/>
    <w:rPr>
      <w:color w:val="0000FF"/>
      <w:u w:val="single"/>
    </w:rPr>
  </w:style>
  <w:style w:type="paragraph" w:styleId="NormalWeb">
    <w:name w:val="Normal (Web)"/>
    <w:basedOn w:val="Normal"/>
    <w:uiPriority w:val="99"/>
    <w:semiHidden/>
    <w:unhideWhenUsed/>
    <w:rsid w:val="00603451"/>
    <w:pPr>
      <w:spacing w:before="100" w:beforeAutospacing="1" w:after="100" w:afterAutospacing="1"/>
    </w:pPr>
    <w:rPr>
      <w:sz w:val="20"/>
      <w:szCs w:val="20"/>
    </w:rPr>
  </w:style>
  <w:style w:type="character" w:styleId="Emphasis">
    <w:name w:val="Emphasis"/>
    <w:uiPriority w:val="20"/>
    <w:qFormat/>
    <w:rsid w:val="00603451"/>
    <w:rPr>
      <w:i/>
      <w:iCs/>
    </w:rPr>
  </w:style>
  <w:style w:type="paragraph" w:styleId="Footer">
    <w:name w:val="footer"/>
    <w:basedOn w:val="Normal"/>
    <w:link w:val="FooterChar"/>
    <w:uiPriority w:val="99"/>
    <w:unhideWhenUsed/>
    <w:rsid w:val="00EC2AEF"/>
    <w:pPr>
      <w:tabs>
        <w:tab w:val="center" w:pos="4320"/>
        <w:tab w:val="right" w:pos="8640"/>
      </w:tabs>
    </w:pPr>
  </w:style>
  <w:style w:type="character" w:customStyle="1" w:styleId="FooterChar">
    <w:name w:val="Footer Char"/>
    <w:link w:val="Footer"/>
    <w:uiPriority w:val="99"/>
    <w:rsid w:val="00EC2AEF"/>
    <w:rPr>
      <w:rFonts w:ascii="Times" w:hAnsi="Times"/>
      <w:sz w:val="22"/>
    </w:rPr>
  </w:style>
  <w:style w:type="character" w:styleId="PageNumber">
    <w:name w:val="page number"/>
    <w:basedOn w:val="DefaultParagraphFont"/>
    <w:uiPriority w:val="99"/>
    <w:semiHidden/>
    <w:unhideWhenUsed/>
    <w:rsid w:val="00EC2AEF"/>
  </w:style>
  <w:style w:type="character" w:styleId="CommentReference">
    <w:name w:val="annotation reference"/>
    <w:uiPriority w:val="99"/>
    <w:semiHidden/>
    <w:unhideWhenUsed/>
    <w:rsid w:val="004A539F"/>
    <w:rPr>
      <w:sz w:val="18"/>
      <w:szCs w:val="18"/>
    </w:rPr>
  </w:style>
  <w:style w:type="paragraph" w:styleId="CommentText">
    <w:name w:val="annotation text"/>
    <w:basedOn w:val="Normal"/>
    <w:link w:val="CommentTextChar"/>
    <w:uiPriority w:val="99"/>
    <w:semiHidden/>
    <w:unhideWhenUsed/>
    <w:rsid w:val="004A539F"/>
    <w:rPr>
      <w:sz w:val="24"/>
    </w:rPr>
  </w:style>
  <w:style w:type="character" w:customStyle="1" w:styleId="CommentTextChar">
    <w:name w:val="Comment Text Char"/>
    <w:link w:val="CommentText"/>
    <w:uiPriority w:val="99"/>
    <w:semiHidden/>
    <w:rsid w:val="004A539F"/>
    <w:rPr>
      <w:rFonts w:ascii="Times" w:hAnsi="Times"/>
    </w:rPr>
  </w:style>
  <w:style w:type="paragraph" w:styleId="CommentSubject">
    <w:name w:val="annotation subject"/>
    <w:basedOn w:val="CommentText"/>
    <w:next w:val="CommentText"/>
    <w:link w:val="CommentSubjectChar"/>
    <w:uiPriority w:val="99"/>
    <w:semiHidden/>
    <w:unhideWhenUsed/>
    <w:rsid w:val="004A539F"/>
    <w:rPr>
      <w:b/>
      <w:bCs/>
      <w:sz w:val="20"/>
      <w:szCs w:val="20"/>
    </w:rPr>
  </w:style>
  <w:style w:type="character" w:customStyle="1" w:styleId="CommentSubjectChar">
    <w:name w:val="Comment Subject Char"/>
    <w:link w:val="CommentSubject"/>
    <w:uiPriority w:val="99"/>
    <w:semiHidden/>
    <w:rsid w:val="004A539F"/>
    <w:rPr>
      <w:rFonts w:ascii="Times" w:hAnsi="Times"/>
      <w:b/>
      <w:bCs/>
      <w:sz w:val="20"/>
      <w:szCs w:val="20"/>
    </w:rPr>
  </w:style>
  <w:style w:type="paragraph" w:customStyle="1" w:styleId="aboutmenu">
    <w:name w:val="aboutmenu"/>
    <w:basedOn w:val="Normal"/>
    <w:rsid w:val="00F5764B"/>
    <w:pPr>
      <w:spacing w:before="100" w:beforeAutospacing="1" w:after="100" w:afterAutospacing="1"/>
    </w:pPr>
    <w:rPr>
      <w:sz w:val="20"/>
      <w:szCs w:val="20"/>
    </w:rPr>
  </w:style>
  <w:style w:type="character" w:styleId="Strong">
    <w:name w:val="Strong"/>
    <w:uiPriority w:val="22"/>
    <w:qFormat/>
    <w:rsid w:val="00F5764B"/>
    <w:rPr>
      <w:b/>
      <w:bCs/>
    </w:rPr>
  </w:style>
  <w:style w:type="paragraph" w:styleId="Header">
    <w:name w:val="header"/>
    <w:basedOn w:val="Normal"/>
    <w:link w:val="HeaderChar"/>
    <w:uiPriority w:val="99"/>
    <w:unhideWhenUsed/>
    <w:rsid w:val="008E40AD"/>
    <w:pPr>
      <w:tabs>
        <w:tab w:val="center" w:pos="4320"/>
        <w:tab w:val="right" w:pos="8640"/>
      </w:tabs>
    </w:pPr>
  </w:style>
  <w:style w:type="character" w:customStyle="1" w:styleId="HeaderChar">
    <w:name w:val="Header Char"/>
    <w:link w:val="Header"/>
    <w:uiPriority w:val="99"/>
    <w:rsid w:val="008E40AD"/>
    <w:rPr>
      <w:rFonts w:ascii="Times" w:hAnsi="Times"/>
      <w:sz w:val="22"/>
    </w:rPr>
  </w:style>
  <w:style w:type="paragraph" w:styleId="Bibliography">
    <w:name w:val="Bibliography"/>
    <w:basedOn w:val="Normal"/>
    <w:next w:val="Normal"/>
    <w:uiPriority w:val="37"/>
    <w:unhideWhenUsed/>
    <w:rsid w:val="00D40D4D"/>
  </w:style>
  <w:style w:type="table" w:styleId="TableGrid">
    <w:name w:val="Table Grid"/>
    <w:basedOn w:val="TableNormal"/>
    <w:uiPriority w:val="59"/>
    <w:rsid w:val="00C02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A64D1"/>
    <w:pPr>
      <w:spacing w:after="200"/>
    </w:pPr>
    <w:rPr>
      <w:b/>
      <w:bCs/>
      <w:color w:val="4F81BD"/>
      <w:sz w:val="18"/>
      <w:szCs w:val="18"/>
    </w:rPr>
  </w:style>
  <w:style w:type="paragraph" w:styleId="TOCHeading">
    <w:name w:val="TOC Heading"/>
    <w:basedOn w:val="Heading1"/>
    <w:next w:val="Normal"/>
    <w:uiPriority w:val="39"/>
    <w:unhideWhenUsed/>
    <w:qFormat/>
    <w:rsid w:val="0010715B"/>
    <w:pPr>
      <w:spacing w:before="480" w:line="276" w:lineRule="auto"/>
      <w:outlineLvl w:val="9"/>
    </w:pPr>
    <w:rPr>
      <w:rFonts w:ascii="Calibri" w:hAnsi="Calibri"/>
      <w:color w:val="365F91"/>
      <w:szCs w:val="28"/>
    </w:rPr>
  </w:style>
  <w:style w:type="paragraph" w:styleId="TOC1">
    <w:name w:val="toc 1"/>
    <w:basedOn w:val="Normal"/>
    <w:next w:val="Normal"/>
    <w:autoRedefine/>
    <w:uiPriority w:val="39"/>
    <w:unhideWhenUsed/>
    <w:rsid w:val="005D3E11"/>
    <w:pPr>
      <w:tabs>
        <w:tab w:val="right" w:leader="dot" w:pos="9350"/>
      </w:tabs>
      <w:spacing w:before="120"/>
    </w:pPr>
    <w:rPr>
      <w:rFonts w:ascii="Times New Roman" w:hAnsi="Times New Roman"/>
      <w:b/>
      <w:noProof/>
      <w:sz w:val="24"/>
    </w:rPr>
  </w:style>
  <w:style w:type="paragraph" w:styleId="TOC2">
    <w:name w:val="toc 2"/>
    <w:basedOn w:val="Normal"/>
    <w:next w:val="Normal"/>
    <w:autoRedefine/>
    <w:uiPriority w:val="39"/>
    <w:unhideWhenUsed/>
    <w:rsid w:val="0010715B"/>
    <w:pPr>
      <w:ind w:left="220"/>
    </w:pPr>
    <w:rPr>
      <w:rFonts w:ascii="Cambria" w:hAnsi="Cambria"/>
      <w:b/>
      <w:szCs w:val="22"/>
    </w:rPr>
  </w:style>
  <w:style w:type="paragraph" w:styleId="TOC3">
    <w:name w:val="toc 3"/>
    <w:basedOn w:val="Normal"/>
    <w:next w:val="Normal"/>
    <w:autoRedefine/>
    <w:uiPriority w:val="39"/>
    <w:unhideWhenUsed/>
    <w:rsid w:val="0010715B"/>
    <w:pPr>
      <w:ind w:left="440"/>
    </w:pPr>
    <w:rPr>
      <w:rFonts w:ascii="Cambria" w:hAnsi="Cambria"/>
      <w:szCs w:val="22"/>
    </w:rPr>
  </w:style>
  <w:style w:type="paragraph" w:styleId="TOC4">
    <w:name w:val="toc 4"/>
    <w:basedOn w:val="Normal"/>
    <w:next w:val="Normal"/>
    <w:autoRedefine/>
    <w:uiPriority w:val="39"/>
    <w:semiHidden/>
    <w:unhideWhenUsed/>
    <w:rsid w:val="0010715B"/>
    <w:pPr>
      <w:ind w:left="660"/>
    </w:pPr>
    <w:rPr>
      <w:rFonts w:ascii="Cambria" w:hAnsi="Cambria"/>
      <w:sz w:val="20"/>
      <w:szCs w:val="20"/>
    </w:rPr>
  </w:style>
  <w:style w:type="paragraph" w:styleId="TOC5">
    <w:name w:val="toc 5"/>
    <w:basedOn w:val="Normal"/>
    <w:next w:val="Normal"/>
    <w:autoRedefine/>
    <w:uiPriority w:val="39"/>
    <w:semiHidden/>
    <w:unhideWhenUsed/>
    <w:rsid w:val="0010715B"/>
    <w:pPr>
      <w:ind w:left="880"/>
    </w:pPr>
    <w:rPr>
      <w:rFonts w:ascii="Cambria" w:hAnsi="Cambria"/>
      <w:sz w:val="20"/>
      <w:szCs w:val="20"/>
    </w:rPr>
  </w:style>
  <w:style w:type="paragraph" w:styleId="TOC6">
    <w:name w:val="toc 6"/>
    <w:basedOn w:val="Normal"/>
    <w:next w:val="Normal"/>
    <w:autoRedefine/>
    <w:uiPriority w:val="39"/>
    <w:semiHidden/>
    <w:unhideWhenUsed/>
    <w:rsid w:val="0010715B"/>
    <w:pPr>
      <w:ind w:left="1100"/>
    </w:pPr>
    <w:rPr>
      <w:rFonts w:ascii="Cambria" w:hAnsi="Cambria"/>
      <w:sz w:val="20"/>
      <w:szCs w:val="20"/>
    </w:rPr>
  </w:style>
  <w:style w:type="paragraph" w:styleId="TOC7">
    <w:name w:val="toc 7"/>
    <w:basedOn w:val="Normal"/>
    <w:next w:val="Normal"/>
    <w:autoRedefine/>
    <w:uiPriority w:val="39"/>
    <w:semiHidden/>
    <w:unhideWhenUsed/>
    <w:rsid w:val="0010715B"/>
    <w:pPr>
      <w:ind w:left="1320"/>
    </w:pPr>
    <w:rPr>
      <w:rFonts w:ascii="Cambria" w:hAnsi="Cambria"/>
      <w:sz w:val="20"/>
      <w:szCs w:val="20"/>
    </w:rPr>
  </w:style>
  <w:style w:type="paragraph" w:styleId="TOC8">
    <w:name w:val="toc 8"/>
    <w:basedOn w:val="Normal"/>
    <w:next w:val="Normal"/>
    <w:autoRedefine/>
    <w:uiPriority w:val="39"/>
    <w:semiHidden/>
    <w:unhideWhenUsed/>
    <w:rsid w:val="0010715B"/>
    <w:pPr>
      <w:ind w:left="1540"/>
    </w:pPr>
    <w:rPr>
      <w:rFonts w:ascii="Cambria" w:hAnsi="Cambria"/>
      <w:sz w:val="20"/>
      <w:szCs w:val="20"/>
    </w:rPr>
  </w:style>
  <w:style w:type="paragraph" w:styleId="TOC9">
    <w:name w:val="toc 9"/>
    <w:basedOn w:val="Normal"/>
    <w:next w:val="Normal"/>
    <w:autoRedefine/>
    <w:uiPriority w:val="39"/>
    <w:semiHidden/>
    <w:unhideWhenUsed/>
    <w:rsid w:val="0010715B"/>
    <w:pPr>
      <w:ind w:left="1760"/>
    </w:pPr>
    <w:rPr>
      <w:rFonts w:ascii="Cambria" w:hAnsi="Cambria"/>
      <w:sz w:val="20"/>
      <w:szCs w:val="20"/>
    </w:rPr>
  </w:style>
  <w:style w:type="character" w:customStyle="1" w:styleId="Heading4Char">
    <w:name w:val="Heading 4 Char"/>
    <w:link w:val="Heading4"/>
    <w:uiPriority w:val="9"/>
    <w:semiHidden/>
    <w:rsid w:val="001F03D0"/>
    <w:rPr>
      <w:rFonts w:ascii="Calibri" w:eastAsia="MS Gothic" w:hAnsi="Calibri" w:cs="Times New Roman"/>
      <w:b/>
      <w:bCs/>
      <w:i/>
      <w:iCs/>
      <w:color w:val="4F81BD"/>
      <w:sz w:val="22"/>
    </w:rPr>
  </w:style>
  <w:style w:type="paragraph" w:styleId="NoSpacing">
    <w:name w:val="No Spacing"/>
    <w:uiPriority w:val="1"/>
    <w:qFormat/>
    <w:rsid w:val="001E1DD7"/>
    <w:rPr>
      <w:rFonts w:ascii="Times" w:hAnsi="Times"/>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5"/>
    <w:rPr>
      <w:rFonts w:ascii="Times" w:hAnsi="Times"/>
      <w:sz w:val="22"/>
      <w:szCs w:val="24"/>
    </w:rPr>
  </w:style>
  <w:style w:type="paragraph" w:styleId="Heading1">
    <w:name w:val="heading 1"/>
    <w:basedOn w:val="Normal"/>
    <w:next w:val="Normal"/>
    <w:link w:val="Heading1Char"/>
    <w:autoRedefine/>
    <w:uiPriority w:val="9"/>
    <w:qFormat/>
    <w:rsid w:val="00895B22"/>
    <w:pPr>
      <w:keepNext/>
      <w:keepLines/>
      <w:spacing w:before="240" w:line="480" w:lineRule="auto"/>
      <w:jc w:val="center"/>
      <w:outlineLvl w:val="0"/>
    </w:pPr>
    <w:rPr>
      <w:rFonts w:eastAsia="MS Gothic"/>
      <w:b/>
      <w:bCs/>
      <w:sz w:val="28"/>
    </w:rPr>
  </w:style>
  <w:style w:type="paragraph" w:styleId="Heading2">
    <w:name w:val="heading 2"/>
    <w:basedOn w:val="Normal"/>
    <w:next w:val="Normal"/>
    <w:link w:val="Heading2Char"/>
    <w:uiPriority w:val="9"/>
    <w:unhideWhenUsed/>
    <w:qFormat/>
    <w:rsid w:val="005D3E11"/>
    <w:pPr>
      <w:keepLines/>
      <w:spacing w:before="200"/>
      <w:outlineLvl w:val="1"/>
    </w:pPr>
    <w:rPr>
      <w:rFonts w:ascii="Times New Roman" w:eastAsia="MS Gothic" w:hAnsi="Times New Roman"/>
      <w:b/>
      <w:bCs/>
      <w:sz w:val="24"/>
    </w:rPr>
  </w:style>
  <w:style w:type="paragraph" w:styleId="Heading3">
    <w:name w:val="heading 3"/>
    <w:basedOn w:val="Normal"/>
    <w:next w:val="Normal"/>
    <w:link w:val="Heading3Char"/>
    <w:uiPriority w:val="9"/>
    <w:unhideWhenUsed/>
    <w:qFormat/>
    <w:rsid w:val="00B93D19"/>
    <w:pPr>
      <w:keepNext/>
      <w:keepLines/>
      <w:spacing w:before="200"/>
      <w:outlineLvl w:val="2"/>
    </w:pPr>
    <w:rPr>
      <w:rFonts w:eastAsia="MS Gothic"/>
      <w:b/>
      <w:bCs/>
      <w:i/>
      <w:sz w:val="24"/>
    </w:rPr>
  </w:style>
  <w:style w:type="paragraph" w:styleId="Heading4">
    <w:name w:val="heading 4"/>
    <w:basedOn w:val="Normal"/>
    <w:next w:val="Normal"/>
    <w:link w:val="Heading4Char"/>
    <w:uiPriority w:val="9"/>
    <w:semiHidden/>
    <w:unhideWhenUsed/>
    <w:qFormat/>
    <w:rsid w:val="001F03D0"/>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D3E11"/>
    <w:rPr>
      <w:rFonts w:ascii="Times New Roman" w:eastAsia="MS Gothic" w:hAnsi="Times New Roman" w:cs="Times New Roman"/>
      <w:b/>
      <w:bCs/>
    </w:rPr>
  </w:style>
  <w:style w:type="character" w:customStyle="1" w:styleId="Heading1Char">
    <w:name w:val="Heading 1 Char"/>
    <w:link w:val="Heading1"/>
    <w:uiPriority w:val="9"/>
    <w:rsid w:val="00895B22"/>
    <w:rPr>
      <w:rFonts w:ascii="Times" w:eastAsia="MS Gothic" w:hAnsi="Times"/>
      <w:b/>
      <w:bCs/>
      <w:sz w:val="28"/>
      <w:szCs w:val="24"/>
    </w:rPr>
  </w:style>
  <w:style w:type="paragraph" w:styleId="ListParagraph">
    <w:name w:val="List Paragraph"/>
    <w:basedOn w:val="Normal"/>
    <w:uiPriority w:val="34"/>
    <w:qFormat/>
    <w:rsid w:val="00814FB5"/>
    <w:pPr>
      <w:ind w:left="720"/>
      <w:contextualSpacing/>
    </w:pPr>
  </w:style>
  <w:style w:type="character" w:customStyle="1" w:styleId="Heading3Char">
    <w:name w:val="Heading 3 Char"/>
    <w:link w:val="Heading3"/>
    <w:uiPriority w:val="9"/>
    <w:rsid w:val="00B93D19"/>
    <w:rPr>
      <w:rFonts w:ascii="Times" w:eastAsia="MS Gothic" w:hAnsi="Times"/>
      <w:b/>
      <w:bCs/>
      <w:i/>
      <w:sz w:val="24"/>
      <w:szCs w:val="24"/>
    </w:rPr>
  </w:style>
  <w:style w:type="paragraph" w:styleId="BalloonText">
    <w:name w:val="Balloon Text"/>
    <w:basedOn w:val="Normal"/>
    <w:link w:val="BalloonTextChar"/>
    <w:uiPriority w:val="99"/>
    <w:semiHidden/>
    <w:unhideWhenUsed/>
    <w:rsid w:val="0001375D"/>
    <w:rPr>
      <w:rFonts w:ascii="Lucida Grande" w:hAnsi="Lucida Grande" w:cs="Lucida Grande"/>
      <w:sz w:val="18"/>
      <w:szCs w:val="18"/>
    </w:rPr>
  </w:style>
  <w:style w:type="character" w:customStyle="1" w:styleId="BalloonTextChar">
    <w:name w:val="Balloon Text Char"/>
    <w:link w:val="BalloonText"/>
    <w:uiPriority w:val="99"/>
    <w:semiHidden/>
    <w:rsid w:val="0001375D"/>
    <w:rPr>
      <w:rFonts w:ascii="Lucida Grande" w:hAnsi="Lucida Grande" w:cs="Lucida Grande"/>
      <w:sz w:val="18"/>
      <w:szCs w:val="18"/>
    </w:rPr>
  </w:style>
  <w:style w:type="character" w:styleId="Hyperlink">
    <w:name w:val="Hyperlink"/>
    <w:uiPriority w:val="99"/>
    <w:semiHidden/>
    <w:unhideWhenUsed/>
    <w:rsid w:val="00603451"/>
    <w:rPr>
      <w:color w:val="0000FF"/>
      <w:u w:val="single"/>
    </w:rPr>
  </w:style>
  <w:style w:type="paragraph" w:styleId="NormalWeb">
    <w:name w:val="Normal (Web)"/>
    <w:basedOn w:val="Normal"/>
    <w:uiPriority w:val="99"/>
    <w:semiHidden/>
    <w:unhideWhenUsed/>
    <w:rsid w:val="00603451"/>
    <w:pPr>
      <w:spacing w:before="100" w:beforeAutospacing="1" w:after="100" w:afterAutospacing="1"/>
    </w:pPr>
    <w:rPr>
      <w:sz w:val="20"/>
      <w:szCs w:val="20"/>
    </w:rPr>
  </w:style>
  <w:style w:type="character" w:styleId="Emphasis">
    <w:name w:val="Emphasis"/>
    <w:uiPriority w:val="20"/>
    <w:qFormat/>
    <w:rsid w:val="00603451"/>
    <w:rPr>
      <w:i/>
      <w:iCs/>
    </w:rPr>
  </w:style>
  <w:style w:type="paragraph" w:styleId="Footer">
    <w:name w:val="footer"/>
    <w:basedOn w:val="Normal"/>
    <w:link w:val="FooterChar"/>
    <w:uiPriority w:val="99"/>
    <w:unhideWhenUsed/>
    <w:rsid w:val="00EC2AEF"/>
    <w:pPr>
      <w:tabs>
        <w:tab w:val="center" w:pos="4320"/>
        <w:tab w:val="right" w:pos="8640"/>
      </w:tabs>
    </w:pPr>
  </w:style>
  <w:style w:type="character" w:customStyle="1" w:styleId="FooterChar">
    <w:name w:val="Footer Char"/>
    <w:link w:val="Footer"/>
    <w:uiPriority w:val="99"/>
    <w:rsid w:val="00EC2AEF"/>
    <w:rPr>
      <w:rFonts w:ascii="Times" w:hAnsi="Times"/>
      <w:sz w:val="22"/>
    </w:rPr>
  </w:style>
  <w:style w:type="character" w:styleId="PageNumber">
    <w:name w:val="page number"/>
    <w:basedOn w:val="DefaultParagraphFont"/>
    <w:uiPriority w:val="99"/>
    <w:semiHidden/>
    <w:unhideWhenUsed/>
    <w:rsid w:val="00EC2AEF"/>
  </w:style>
  <w:style w:type="character" w:styleId="CommentReference">
    <w:name w:val="annotation reference"/>
    <w:uiPriority w:val="99"/>
    <w:semiHidden/>
    <w:unhideWhenUsed/>
    <w:rsid w:val="004A539F"/>
    <w:rPr>
      <w:sz w:val="18"/>
      <w:szCs w:val="18"/>
    </w:rPr>
  </w:style>
  <w:style w:type="paragraph" w:styleId="CommentText">
    <w:name w:val="annotation text"/>
    <w:basedOn w:val="Normal"/>
    <w:link w:val="CommentTextChar"/>
    <w:uiPriority w:val="99"/>
    <w:semiHidden/>
    <w:unhideWhenUsed/>
    <w:rsid w:val="004A539F"/>
    <w:rPr>
      <w:sz w:val="24"/>
    </w:rPr>
  </w:style>
  <w:style w:type="character" w:customStyle="1" w:styleId="CommentTextChar">
    <w:name w:val="Comment Text Char"/>
    <w:link w:val="CommentText"/>
    <w:uiPriority w:val="99"/>
    <w:semiHidden/>
    <w:rsid w:val="004A539F"/>
    <w:rPr>
      <w:rFonts w:ascii="Times" w:hAnsi="Times"/>
    </w:rPr>
  </w:style>
  <w:style w:type="paragraph" w:styleId="CommentSubject">
    <w:name w:val="annotation subject"/>
    <w:basedOn w:val="CommentText"/>
    <w:next w:val="CommentText"/>
    <w:link w:val="CommentSubjectChar"/>
    <w:uiPriority w:val="99"/>
    <w:semiHidden/>
    <w:unhideWhenUsed/>
    <w:rsid w:val="004A539F"/>
    <w:rPr>
      <w:b/>
      <w:bCs/>
      <w:sz w:val="20"/>
      <w:szCs w:val="20"/>
    </w:rPr>
  </w:style>
  <w:style w:type="character" w:customStyle="1" w:styleId="CommentSubjectChar">
    <w:name w:val="Comment Subject Char"/>
    <w:link w:val="CommentSubject"/>
    <w:uiPriority w:val="99"/>
    <w:semiHidden/>
    <w:rsid w:val="004A539F"/>
    <w:rPr>
      <w:rFonts w:ascii="Times" w:hAnsi="Times"/>
      <w:b/>
      <w:bCs/>
      <w:sz w:val="20"/>
      <w:szCs w:val="20"/>
    </w:rPr>
  </w:style>
  <w:style w:type="paragraph" w:customStyle="1" w:styleId="aboutmenu">
    <w:name w:val="aboutmenu"/>
    <w:basedOn w:val="Normal"/>
    <w:rsid w:val="00F5764B"/>
    <w:pPr>
      <w:spacing w:before="100" w:beforeAutospacing="1" w:after="100" w:afterAutospacing="1"/>
    </w:pPr>
    <w:rPr>
      <w:sz w:val="20"/>
      <w:szCs w:val="20"/>
    </w:rPr>
  </w:style>
  <w:style w:type="character" w:styleId="Strong">
    <w:name w:val="Strong"/>
    <w:uiPriority w:val="22"/>
    <w:qFormat/>
    <w:rsid w:val="00F5764B"/>
    <w:rPr>
      <w:b/>
      <w:bCs/>
    </w:rPr>
  </w:style>
  <w:style w:type="paragraph" w:styleId="Header">
    <w:name w:val="header"/>
    <w:basedOn w:val="Normal"/>
    <w:link w:val="HeaderChar"/>
    <w:uiPriority w:val="99"/>
    <w:unhideWhenUsed/>
    <w:rsid w:val="008E40AD"/>
    <w:pPr>
      <w:tabs>
        <w:tab w:val="center" w:pos="4320"/>
        <w:tab w:val="right" w:pos="8640"/>
      </w:tabs>
    </w:pPr>
  </w:style>
  <w:style w:type="character" w:customStyle="1" w:styleId="HeaderChar">
    <w:name w:val="Header Char"/>
    <w:link w:val="Header"/>
    <w:uiPriority w:val="99"/>
    <w:rsid w:val="008E40AD"/>
    <w:rPr>
      <w:rFonts w:ascii="Times" w:hAnsi="Times"/>
      <w:sz w:val="22"/>
    </w:rPr>
  </w:style>
  <w:style w:type="paragraph" w:styleId="Bibliography">
    <w:name w:val="Bibliography"/>
    <w:basedOn w:val="Normal"/>
    <w:next w:val="Normal"/>
    <w:uiPriority w:val="37"/>
    <w:unhideWhenUsed/>
    <w:rsid w:val="00D40D4D"/>
  </w:style>
  <w:style w:type="table" w:styleId="TableGrid">
    <w:name w:val="Table Grid"/>
    <w:basedOn w:val="TableNormal"/>
    <w:uiPriority w:val="59"/>
    <w:rsid w:val="00C02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A64D1"/>
    <w:pPr>
      <w:spacing w:after="200"/>
    </w:pPr>
    <w:rPr>
      <w:b/>
      <w:bCs/>
      <w:color w:val="4F81BD"/>
      <w:sz w:val="18"/>
      <w:szCs w:val="18"/>
    </w:rPr>
  </w:style>
  <w:style w:type="paragraph" w:styleId="TOCHeading">
    <w:name w:val="TOC Heading"/>
    <w:basedOn w:val="Heading1"/>
    <w:next w:val="Normal"/>
    <w:uiPriority w:val="39"/>
    <w:unhideWhenUsed/>
    <w:qFormat/>
    <w:rsid w:val="0010715B"/>
    <w:pPr>
      <w:spacing w:before="480" w:line="276" w:lineRule="auto"/>
      <w:outlineLvl w:val="9"/>
    </w:pPr>
    <w:rPr>
      <w:rFonts w:ascii="Calibri" w:hAnsi="Calibri"/>
      <w:color w:val="365F91"/>
      <w:szCs w:val="28"/>
    </w:rPr>
  </w:style>
  <w:style w:type="paragraph" w:styleId="TOC1">
    <w:name w:val="toc 1"/>
    <w:basedOn w:val="Normal"/>
    <w:next w:val="Normal"/>
    <w:autoRedefine/>
    <w:uiPriority w:val="39"/>
    <w:unhideWhenUsed/>
    <w:rsid w:val="005D3E11"/>
    <w:pPr>
      <w:tabs>
        <w:tab w:val="right" w:leader="dot" w:pos="9350"/>
      </w:tabs>
      <w:spacing w:before="120"/>
    </w:pPr>
    <w:rPr>
      <w:rFonts w:ascii="Times New Roman" w:hAnsi="Times New Roman"/>
      <w:b/>
      <w:noProof/>
      <w:sz w:val="24"/>
    </w:rPr>
  </w:style>
  <w:style w:type="paragraph" w:styleId="TOC2">
    <w:name w:val="toc 2"/>
    <w:basedOn w:val="Normal"/>
    <w:next w:val="Normal"/>
    <w:autoRedefine/>
    <w:uiPriority w:val="39"/>
    <w:unhideWhenUsed/>
    <w:rsid w:val="0010715B"/>
    <w:pPr>
      <w:ind w:left="220"/>
    </w:pPr>
    <w:rPr>
      <w:rFonts w:ascii="Cambria" w:hAnsi="Cambria"/>
      <w:b/>
      <w:szCs w:val="22"/>
    </w:rPr>
  </w:style>
  <w:style w:type="paragraph" w:styleId="TOC3">
    <w:name w:val="toc 3"/>
    <w:basedOn w:val="Normal"/>
    <w:next w:val="Normal"/>
    <w:autoRedefine/>
    <w:uiPriority w:val="39"/>
    <w:unhideWhenUsed/>
    <w:rsid w:val="0010715B"/>
    <w:pPr>
      <w:ind w:left="440"/>
    </w:pPr>
    <w:rPr>
      <w:rFonts w:ascii="Cambria" w:hAnsi="Cambria"/>
      <w:szCs w:val="22"/>
    </w:rPr>
  </w:style>
  <w:style w:type="paragraph" w:styleId="TOC4">
    <w:name w:val="toc 4"/>
    <w:basedOn w:val="Normal"/>
    <w:next w:val="Normal"/>
    <w:autoRedefine/>
    <w:uiPriority w:val="39"/>
    <w:semiHidden/>
    <w:unhideWhenUsed/>
    <w:rsid w:val="0010715B"/>
    <w:pPr>
      <w:ind w:left="660"/>
    </w:pPr>
    <w:rPr>
      <w:rFonts w:ascii="Cambria" w:hAnsi="Cambria"/>
      <w:sz w:val="20"/>
      <w:szCs w:val="20"/>
    </w:rPr>
  </w:style>
  <w:style w:type="paragraph" w:styleId="TOC5">
    <w:name w:val="toc 5"/>
    <w:basedOn w:val="Normal"/>
    <w:next w:val="Normal"/>
    <w:autoRedefine/>
    <w:uiPriority w:val="39"/>
    <w:semiHidden/>
    <w:unhideWhenUsed/>
    <w:rsid w:val="0010715B"/>
    <w:pPr>
      <w:ind w:left="880"/>
    </w:pPr>
    <w:rPr>
      <w:rFonts w:ascii="Cambria" w:hAnsi="Cambria"/>
      <w:sz w:val="20"/>
      <w:szCs w:val="20"/>
    </w:rPr>
  </w:style>
  <w:style w:type="paragraph" w:styleId="TOC6">
    <w:name w:val="toc 6"/>
    <w:basedOn w:val="Normal"/>
    <w:next w:val="Normal"/>
    <w:autoRedefine/>
    <w:uiPriority w:val="39"/>
    <w:semiHidden/>
    <w:unhideWhenUsed/>
    <w:rsid w:val="0010715B"/>
    <w:pPr>
      <w:ind w:left="1100"/>
    </w:pPr>
    <w:rPr>
      <w:rFonts w:ascii="Cambria" w:hAnsi="Cambria"/>
      <w:sz w:val="20"/>
      <w:szCs w:val="20"/>
    </w:rPr>
  </w:style>
  <w:style w:type="paragraph" w:styleId="TOC7">
    <w:name w:val="toc 7"/>
    <w:basedOn w:val="Normal"/>
    <w:next w:val="Normal"/>
    <w:autoRedefine/>
    <w:uiPriority w:val="39"/>
    <w:semiHidden/>
    <w:unhideWhenUsed/>
    <w:rsid w:val="0010715B"/>
    <w:pPr>
      <w:ind w:left="1320"/>
    </w:pPr>
    <w:rPr>
      <w:rFonts w:ascii="Cambria" w:hAnsi="Cambria"/>
      <w:sz w:val="20"/>
      <w:szCs w:val="20"/>
    </w:rPr>
  </w:style>
  <w:style w:type="paragraph" w:styleId="TOC8">
    <w:name w:val="toc 8"/>
    <w:basedOn w:val="Normal"/>
    <w:next w:val="Normal"/>
    <w:autoRedefine/>
    <w:uiPriority w:val="39"/>
    <w:semiHidden/>
    <w:unhideWhenUsed/>
    <w:rsid w:val="0010715B"/>
    <w:pPr>
      <w:ind w:left="1540"/>
    </w:pPr>
    <w:rPr>
      <w:rFonts w:ascii="Cambria" w:hAnsi="Cambria"/>
      <w:sz w:val="20"/>
      <w:szCs w:val="20"/>
    </w:rPr>
  </w:style>
  <w:style w:type="paragraph" w:styleId="TOC9">
    <w:name w:val="toc 9"/>
    <w:basedOn w:val="Normal"/>
    <w:next w:val="Normal"/>
    <w:autoRedefine/>
    <w:uiPriority w:val="39"/>
    <w:semiHidden/>
    <w:unhideWhenUsed/>
    <w:rsid w:val="0010715B"/>
    <w:pPr>
      <w:ind w:left="1760"/>
    </w:pPr>
    <w:rPr>
      <w:rFonts w:ascii="Cambria" w:hAnsi="Cambria"/>
      <w:sz w:val="20"/>
      <w:szCs w:val="20"/>
    </w:rPr>
  </w:style>
  <w:style w:type="character" w:customStyle="1" w:styleId="Heading4Char">
    <w:name w:val="Heading 4 Char"/>
    <w:link w:val="Heading4"/>
    <w:uiPriority w:val="9"/>
    <w:semiHidden/>
    <w:rsid w:val="001F03D0"/>
    <w:rPr>
      <w:rFonts w:ascii="Calibri" w:eastAsia="MS Gothic" w:hAnsi="Calibri" w:cs="Times New Roman"/>
      <w:b/>
      <w:bCs/>
      <w:i/>
      <w:iCs/>
      <w:color w:val="4F81BD"/>
      <w:sz w:val="22"/>
    </w:rPr>
  </w:style>
  <w:style w:type="paragraph" w:styleId="NoSpacing">
    <w:name w:val="No Spacing"/>
    <w:uiPriority w:val="1"/>
    <w:qFormat/>
    <w:rsid w:val="001E1DD7"/>
    <w:rPr>
      <w:rFonts w:ascii="Times" w:hAnsi="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1158">
      <w:bodyDiv w:val="1"/>
      <w:marLeft w:val="0"/>
      <w:marRight w:val="0"/>
      <w:marTop w:val="0"/>
      <w:marBottom w:val="0"/>
      <w:divBdr>
        <w:top w:val="none" w:sz="0" w:space="0" w:color="auto"/>
        <w:left w:val="none" w:sz="0" w:space="0" w:color="auto"/>
        <w:bottom w:val="none" w:sz="0" w:space="0" w:color="auto"/>
        <w:right w:val="none" w:sz="0" w:space="0" w:color="auto"/>
      </w:divBdr>
    </w:div>
    <w:div w:id="92091299">
      <w:bodyDiv w:val="1"/>
      <w:marLeft w:val="0"/>
      <w:marRight w:val="0"/>
      <w:marTop w:val="0"/>
      <w:marBottom w:val="0"/>
      <w:divBdr>
        <w:top w:val="none" w:sz="0" w:space="0" w:color="auto"/>
        <w:left w:val="none" w:sz="0" w:space="0" w:color="auto"/>
        <w:bottom w:val="none" w:sz="0" w:space="0" w:color="auto"/>
        <w:right w:val="none" w:sz="0" w:space="0" w:color="auto"/>
      </w:divBdr>
    </w:div>
    <w:div w:id="130444919">
      <w:bodyDiv w:val="1"/>
      <w:marLeft w:val="0"/>
      <w:marRight w:val="0"/>
      <w:marTop w:val="0"/>
      <w:marBottom w:val="0"/>
      <w:divBdr>
        <w:top w:val="none" w:sz="0" w:space="0" w:color="auto"/>
        <w:left w:val="none" w:sz="0" w:space="0" w:color="auto"/>
        <w:bottom w:val="none" w:sz="0" w:space="0" w:color="auto"/>
        <w:right w:val="none" w:sz="0" w:space="0" w:color="auto"/>
      </w:divBdr>
    </w:div>
    <w:div w:id="138813913">
      <w:bodyDiv w:val="1"/>
      <w:marLeft w:val="0"/>
      <w:marRight w:val="0"/>
      <w:marTop w:val="0"/>
      <w:marBottom w:val="0"/>
      <w:divBdr>
        <w:top w:val="none" w:sz="0" w:space="0" w:color="auto"/>
        <w:left w:val="none" w:sz="0" w:space="0" w:color="auto"/>
        <w:bottom w:val="none" w:sz="0" w:space="0" w:color="auto"/>
        <w:right w:val="none" w:sz="0" w:space="0" w:color="auto"/>
      </w:divBdr>
    </w:div>
    <w:div w:id="148596961">
      <w:bodyDiv w:val="1"/>
      <w:marLeft w:val="0"/>
      <w:marRight w:val="0"/>
      <w:marTop w:val="0"/>
      <w:marBottom w:val="0"/>
      <w:divBdr>
        <w:top w:val="none" w:sz="0" w:space="0" w:color="auto"/>
        <w:left w:val="none" w:sz="0" w:space="0" w:color="auto"/>
        <w:bottom w:val="none" w:sz="0" w:space="0" w:color="auto"/>
        <w:right w:val="none" w:sz="0" w:space="0" w:color="auto"/>
      </w:divBdr>
    </w:div>
    <w:div w:id="171646446">
      <w:bodyDiv w:val="1"/>
      <w:marLeft w:val="0"/>
      <w:marRight w:val="0"/>
      <w:marTop w:val="0"/>
      <w:marBottom w:val="0"/>
      <w:divBdr>
        <w:top w:val="none" w:sz="0" w:space="0" w:color="auto"/>
        <w:left w:val="none" w:sz="0" w:space="0" w:color="auto"/>
        <w:bottom w:val="none" w:sz="0" w:space="0" w:color="auto"/>
        <w:right w:val="none" w:sz="0" w:space="0" w:color="auto"/>
      </w:divBdr>
    </w:div>
    <w:div w:id="337275018">
      <w:bodyDiv w:val="1"/>
      <w:marLeft w:val="0"/>
      <w:marRight w:val="0"/>
      <w:marTop w:val="0"/>
      <w:marBottom w:val="0"/>
      <w:divBdr>
        <w:top w:val="none" w:sz="0" w:space="0" w:color="auto"/>
        <w:left w:val="none" w:sz="0" w:space="0" w:color="auto"/>
        <w:bottom w:val="none" w:sz="0" w:space="0" w:color="auto"/>
        <w:right w:val="none" w:sz="0" w:space="0" w:color="auto"/>
      </w:divBdr>
    </w:div>
    <w:div w:id="389503075">
      <w:bodyDiv w:val="1"/>
      <w:marLeft w:val="0"/>
      <w:marRight w:val="0"/>
      <w:marTop w:val="0"/>
      <w:marBottom w:val="0"/>
      <w:divBdr>
        <w:top w:val="none" w:sz="0" w:space="0" w:color="auto"/>
        <w:left w:val="none" w:sz="0" w:space="0" w:color="auto"/>
        <w:bottom w:val="none" w:sz="0" w:space="0" w:color="auto"/>
        <w:right w:val="none" w:sz="0" w:space="0" w:color="auto"/>
      </w:divBdr>
    </w:div>
    <w:div w:id="480776540">
      <w:bodyDiv w:val="1"/>
      <w:marLeft w:val="0"/>
      <w:marRight w:val="0"/>
      <w:marTop w:val="0"/>
      <w:marBottom w:val="0"/>
      <w:divBdr>
        <w:top w:val="none" w:sz="0" w:space="0" w:color="auto"/>
        <w:left w:val="none" w:sz="0" w:space="0" w:color="auto"/>
        <w:bottom w:val="none" w:sz="0" w:space="0" w:color="auto"/>
        <w:right w:val="none" w:sz="0" w:space="0" w:color="auto"/>
      </w:divBdr>
    </w:div>
    <w:div w:id="508108271">
      <w:bodyDiv w:val="1"/>
      <w:marLeft w:val="0"/>
      <w:marRight w:val="0"/>
      <w:marTop w:val="0"/>
      <w:marBottom w:val="0"/>
      <w:divBdr>
        <w:top w:val="none" w:sz="0" w:space="0" w:color="auto"/>
        <w:left w:val="none" w:sz="0" w:space="0" w:color="auto"/>
        <w:bottom w:val="none" w:sz="0" w:space="0" w:color="auto"/>
        <w:right w:val="none" w:sz="0" w:space="0" w:color="auto"/>
      </w:divBdr>
      <w:divsChild>
        <w:div w:id="1690134372">
          <w:marLeft w:val="547"/>
          <w:marRight w:val="0"/>
          <w:marTop w:val="115"/>
          <w:marBottom w:val="120"/>
          <w:divBdr>
            <w:top w:val="none" w:sz="0" w:space="0" w:color="auto"/>
            <w:left w:val="none" w:sz="0" w:space="0" w:color="auto"/>
            <w:bottom w:val="none" w:sz="0" w:space="0" w:color="auto"/>
            <w:right w:val="none" w:sz="0" w:space="0" w:color="auto"/>
          </w:divBdr>
        </w:div>
        <w:div w:id="2147164956">
          <w:marLeft w:val="547"/>
          <w:marRight w:val="0"/>
          <w:marTop w:val="115"/>
          <w:marBottom w:val="120"/>
          <w:divBdr>
            <w:top w:val="none" w:sz="0" w:space="0" w:color="auto"/>
            <w:left w:val="none" w:sz="0" w:space="0" w:color="auto"/>
            <w:bottom w:val="none" w:sz="0" w:space="0" w:color="auto"/>
            <w:right w:val="none" w:sz="0" w:space="0" w:color="auto"/>
          </w:divBdr>
        </w:div>
      </w:divsChild>
    </w:div>
    <w:div w:id="508520806">
      <w:bodyDiv w:val="1"/>
      <w:marLeft w:val="0"/>
      <w:marRight w:val="0"/>
      <w:marTop w:val="0"/>
      <w:marBottom w:val="0"/>
      <w:divBdr>
        <w:top w:val="none" w:sz="0" w:space="0" w:color="auto"/>
        <w:left w:val="none" w:sz="0" w:space="0" w:color="auto"/>
        <w:bottom w:val="none" w:sz="0" w:space="0" w:color="auto"/>
        <w:right w:val="none" w:sz="0" w:space="0" w:color="auto"/>
      </w:divBdr>
    </w:div>
    <w:div w:id="715547117">
      <w:bodyDiv w:val="1"/>
      <w:marLeft w:val="0"/>
      <w:marRight w:val="0"/>
      <w:marTop w:val="0"/>
      <w:marBottom w:val="0"/>
      <w:divBdr>
        <w:top w:val="none" w:sz="0" w:space="0" w:color="auto"/>
        <w:left w:val="none" w:sz="0" w:space="0" w:color="auto"/>
        <w:bottom w:val="none" w:sz="0" w:space="0" w:color="auto"/>
        <w:right w:val="none" w:sz="0" w:space="0" w:color="auto"/>
      </w:divBdr>
    </w:div>
    <w:div w:id="734815690">
      <w:bodyDiv w:val="1"/>
      <w:marLeft w:val="0"/>
      <w:marRight w:val="0"/>
      <w:marTop w:val="0"/>
      <w:marBottom w:val="0"/>
      <w:divBdr>
        <w:top w:val="none" w:sz="0" w:space="0" w:color="auto"/>
        <w:left w:val="none" w:sz="0" w:space="0" w:color="auto"/>
        <w:bottom w:val="none" w:sz="0" w:space="0" w:color="auto"/>
        <w:right w:val="none" w:sz="0" w:space="0" w:color="auto"/>
      </w:divBdr>
    </w:div>
    <w:div w:id="749741834">
      <w:bodyDiv w:val="1"/>
      <w:marLeft w:val="0"/>
      <w:marRight w:val="0"/>
      <w:marTop w:val="0"/>
      <w:marBottom w:val="0"/>
      <w:divBdr>
        <w:top w:val="none" w:sz="0" w:space="0" w:color="auto"/>
        <w:left w:val="none" w:sz="0" w:space="0" w:color="auto"/>
        <w:bottom w:val="none" w:sz="0" w:space="0" w:color="auto"/>
        <w:right w:val="none" w:sz="0" w:space="0" w:color="auto"/>
      </w:divBdr>
    </w:div>
    <w:div w:id="760567108">
      <w:bodyDiv w:val="1"/>
      <w:marLeft w:val="0"/>
      <w:marRight w:val="0"/>
      <w:marTop w:val="0"/>
      <w:marBottom w:val="0"/>
      <w:divBdr>
        <w:top w:val="none" w:sz="0" w:space="0" w:color="auto"/>
        <w:left w:val="none" w:sz="0" w:space="0" w:color="auto"/>
        <w:bottom w:val="none" w:sz="0" w:space="0" w:color="auto"/>
        <w:right w:val="none" w:sz="0" w:space="0" w:color="auto"/>
      </w:divBdr>
    </w:div>
    <w:div w:id="772869381">
      <w:bodyDiv w:val="1"/>
      <w:marLeft w:val="0"/>
      <w:marRight w:val="0"/>
      <w:marTop w:val="0"/>
      <w:marBottom w:val="0"/>
      <w:divBdr>
        <w:top w:val="none" w:sz="0" w:space="0" w:color="auto"/>
        <w:left w:val="none" w:sz="0" w:space="0" w:color="auto"/>
        <w:bottom w:val="none" w:sz="0" w:space="0" w:color="auto"/>
        <w:right w:val="none" w:sz="0" w:space="0" w:color="auto"/>
      </w:divBdr>
    </w:div>
    <w:div w:id="826939051">
      <w:bodyDiv w:val="1"/>
      <w:marLeft w:val="0"/>
      <w:marRight w:val="0"/>
      <w:marTop w:val="0"/>
      <w:marBottom w:val="0"/>
      <w:divBdr>
        <w:top w:val="none" w:sz="0" w:space="0" w:color="auto"/>
        <w:left w:val="none" w:sz="0" w:space="0" w:color="auto"/>
        <w:bottom w:val="none" w:sz="0" w:space="0" w:color="auto"/>
        <w:right w:val="none" w:sz="0" w:space="0" w:color="auto"/>
      </w:divBdr>
    </w:div>
    <w:div w:id="840245172">
      <w:bodyDiv w:val="1"/>
      <w:marLeft w:val="0"/>
      <w:marRight w:val="0"/>
      <w:marTop w:val="0"/>
      <w:marBottom w:val="0"/>
      <w:divBdr>
        <w:top w:val="none" w:sz="0" w:space="0" w:color="auto"/>
        <w:left w:val="none" w:sz="0" w:space="0" w:color="auto"/>
        <w:bottom w:val="none" w:sz="0" w:space="0" w:color="auto"/>
        <w:right w:val="none" w:sz="0" w:space="0" w:color="auto"/>
      </w:divBdr>
    </w:div>
    <w:div w:id="855845626">
      <w:bodyDiv w:val="1"/>
      <w:marLeft w:val="0"/>
      <w:marRight w:val="0"/>
      <w:marTop w:val="0"/>
      <w:marBottom w:val="0"/>
      <w:divBdr>
        <w:top w:val="none" w:sz="0" w:space="0" w:color="auto"/>
        <w:left w:val="none" w:sz="0" w:space="0" w:color="auto"/>
        <w:bottom w:val="none" w:sz="0" w:space="0" w:color="auto"/>
        <w:right w:val="none" w:sz="0" w:space="0" w:color="auto"/>
      </w:divBdr>
    </w:div>
    <w:div w:id="932126788">
      <w:bodyDiv w:val="1"/>
      <w:marLeft w:val="0"/>
      <w:marRight w:val="0"/>
      <w:marTop w:val="0"/>
      <w:marBottom w:val="0"/>
      <w:divBdr>
        <w:top w:val="none" w:sz="0" w:space="0" w:color="auto"/>
        <w:left w:val="none" w:sz="0" w:space="0" w:color="auto"/>
        <w:bottom w:val="none" w:sz="0" w:space="0" w:color="auto"/>
        <w:right w:val="none" w:sz="0" w:space="0" w:color="auto"/>
      </w:divBdr>
    </w:div>
    <w:div w:id="934634278">
      <w:bodyDiv w:val="1"/>
      <w:marLeft w:val="0"/>
      <w:marRight w:val="0"/>
      <w:marTop w:val="0"/>
      <w:marBottom w:val="0"/>
      <w:divBdr>
        <w:top w:val="none" w:sz="0" w:space="0" w:color="auto"/>
        <w:left w:val="none" w:sz="0" w:space="0" w:color="auto"/>
        <w:bottom w:val="none" w:sz="0" w:space="0" w:color="auto"/>
        <w:right w:val="none" w:sz="0" w:space="0" w:color="auto"/>
      </w:divBdr>
    </w:div>
    <w:div w:id="952320910">
      <w:bodyDiv w:val="1"/>
      <w:marLeft w:val="0"/>
      <w:marRight w:val="0"/>
      <w:marTop w:val="0"/>
      <w:marBottom w:val="0"/>
      <w:divBdr>
        <w:top w:val="none" w:sz="0" w:space="0" w:color="auto"/>
        <w:left w:val="none" w:sz="0" w:space="0" w:color="auto"/>
        <w:bottom w:val="none" w:sz="0" w:space="0" w:color="auto"/>
        <w:right w:val="none" w:sz="0" w:space="0" w:color="auto"/>
      </w:divBdr>
    </w:div>
    <w:div w:id="957638195">
      <w:bodyDiv w:val="1"/>
      <w:marLeft w:val="0"/>
      <w:marRight w:val="0"/>
      <w:marTop w:val="0"/>
      <w:marBottom w:val="0"/>
      <w:divBdr>
        <w:top w:val="none" w:sz="0" w:space="0" w:color="auto"/>
        <w:left w:val="none" w:sz="0" w:space="0" w:color="auto"/>
        <w:bottom w:val="none" w:sz="0" w:space="0" w:color="auto"/>
        <w:right w:val="none" w:sz="0" w:space="0" w:color="auto"/>
      </w:divBdr>
    </w:div>
    <w:div w:id="990988144">
      <w:bodyDiv w:val="1"/>
      <w:marLeft w:val="0"/>
      <w:marRight w:val="0"/>
      <w:marTop w:val="0"/>
      <w:marBottom w:val="0"/>
      <w:divBdr>
        <w:top w:val="none" w:sz="0" w:space="0" w:color="auto"/>
        <w:left w:val="none" w:sz="0" w:space="0" w:color="auto"/>
        <w:bottom w:val="none" w:sz="0" w:space="0" w:color="auto"/>
        <w:right w:val="none" w:sz="0" w:space="0" w:color="auto"/>
      </w:divBdr>
    </w:div>
    <w:div w:id="1034889831">
      <w:bodyDiv w:val="1"/>
      <w:marLeft w:val="0"/>
      <w:marRight w:val="0"/>
      <w:marTop w:val="0"/>
      <w:marBottom w:val="0"/>
      <w:divBdr>
        <w:top w:val="none" w:sz="0" w:space="0" w:color="auto"/>
        <w:left w:val="none" w:sz="0" w:space="0" w:color="auto"/>
        <w:bottom w:val="none" w:sz="0" w:space="0" w:color="auto"/>
        <w:right w:val="none" w:sz="0" w:space="0" w:color="auto"/>
      </w:divBdr>
    </w:div>
    <w:div w:id="1035695877">
      <w:bodyDiv w:val="1"/>
      <w:marLeft w:val="0"/>
      <w:marRight w:val="0"/>
      <w:marTop w:val="0"/>
      <w:marBottom w:val="0"/>
      <w:divBdr>
        <w:top w:val="none" w:sz="0" w:space="0" w:color="auto"/>
        <w:left w:val="none" w:sz="0" w:space="0" w:color="auto"/>
        <w:bottom w:val="none" w:sz="0" w:space="0" w:color="auto"/>
        <w:right w:val="none" w:sz="0" w:space="0" w:color="auto"/>
      </w:divBdr>
    </w:div>
    <w:div w:id="1056514501">
      <w:bodyDiv w:val="1"/>
      <w:marLeft w:val="0"/>
      <w:marRight w:val="0"/>
      <w:marTop w:val="0"/>
      <w:marBottom w:val="0"/>
      <w:divBdr>
        <w:top w:val="none" w:sz="0" w:space="0" w:color="auto"/>
        <w:left w:val="none" w:sz="0" w:space="0" w:color="auto"/>
        <w:bottom w:val="none" w:sz="0" w:space="0" w:color="auto"/>
        <w:right w:val="none" w:sz="0" w:space="0" w:color="auto"/>
      </w:divBdr>
    </w:div>
    <w:div w:id="1229344937">
      <w:bodyDiv w:val="1"/>
      <w:marLeft w:val="0"/>
      <w:marRight w:val="0"/>
      <w:marTop w:val="0"/>
      <w:marBottom w:val="0"/>
      <w:divBdr>
        <w:top w:val="none" w:sz="0" w:space="0" w:color="auto"/>
        <w:left w:val="none" w:sz="0" w:space="0" w:color="auto"/>
        <w:bottom w:val="none" w:sz="0" w:space="0" w:color="auto"/>
        <w:right w:val="none" w:sz="0" w:space="0" w:color="auto"/>
      </w:divBdr>
    </w:div>
    <w:div w:id="1244292680">
      <w:bodyDiv w:val="1"/>
      <w:marLeft w:val="0"/>
      <w:marRight w:val="0"/>
      <w:marTop w:val="0"/>
      <w:marBottom w:val="0"/>
      <w:divBdr>
        <w:top w:val="none" w:sz="0" w:space="0" w:color="auto"/>
        <w:left w:val="none" w:sz="0" w:space="0" w:color="auto"/>
        <w:bottom w:val="none" w:sz="0" w:space="0" w:color="auto"/>
        <w:right w:val="none" w:sz="0" w:space="0" w:color="auto"/>
      </w:divBdr>
    </w:div>
    <w:div w:id="1300962373">
      <w:bodyDiv w:val="1"/>
      <w:marLeft w:val="0"/>
      <w:marRight w:val="0"/>
      <w:marTop w:val="0"/>
      <w:marBottom w:val="0"/>
      <w:divBdr>
        <w:top w:val="none" w:sz="0" w:space="0" w:color="auto"/>
        <w:left w:val="none" w:sz="0" w:space="0" w:color="auto"/>
        <w:bottom w:val="none" w:sz="0" w:space="0" w:color="auto"/>
        <w:right w:val="none" w:sz="0" w:space="0" w:color="auto"/>
      </w:divBdr>
    </w:div>
    <w:div w:id="1305156697">
      <w:bodyDiv w:val="1"/>
      <w:marLeft w:val="0"/>
      <w:marRight w:val="0"/>
      <w:marTop w:val="0"/>
      <w:marBottom w:val="0"/>
      <w:divBdr>
        <w:top w:val="none" w:sz="0" w:space="0" w:color="auto"/>
        <w:left w:val="none" w:sz="0" w:space="0" w:color="auto"/>
        <w:bottom w:val="none" w:sz="0" w:space="0" w:color="auto"/>
        <w:right w:val="none" w:sz="0" w:space="0" w:color="auto"/>
      </w:divBdr>
    </w:div>
    <w:div w:id="1386373573">
      <w:bodyDiv w:val="1"/>
      <w:marLeft w:val="0"/>
      <w:marRight w:val="0"/>
      <w:marTop w:val="0"/>
      <w:marBottom w:val="0"/>
      <w:divBdr>
        <w:top w:val="none" w:sz="0" w:space="0" w:color="auto"/>
        <w:left w:val="none" w:sz="0" w:space="0" w:color="auto"/>
        <w:bottom w:val="none" w:sz="0" w:space="0" w:color="auto"/>
        <w:right w:val="none" w:sz="0" w:space="0" w:color="auto"/>
      </w:divBdr>
    </w:div>
    <w:div w:id="1403675681">
      <w:bodyDiv w:val="1"/>
      <w:marLeft w:val="0"/>
      <w:marRight w:val="0"/>
      <w:marTop w:val="0"/>
      <w:marBottom w:val="0"/>
      <w:divBdr>
        <w:top w:val="none" w:sz="0" w:space="0" w:color="auto"/>
        <w:left w:val="none" w:sz="0" w:space="0" w:color="auto"/>
        <w:bottom w:val="none" w:sz="0" w:space="0" w:color="auto"/>
        <w:right w:val="none" w:sz="0" w:space="0" w:color="auto"/>
      </w:divBdr>
    </w:div>
    <w:div w:id="1414546290">
      <w:bodyDiv w:val="1"/>
      <w:marLeft w:val="0"/>
      <w:marRight w:val="0"/>
      <w:marTop w:val="0"/>
      <w:marBottom w:val="0"/>
      <w:divBdr>
        <w:top w:val="none" w:sz="0" w:space="0" w:color="auto"/>
        <w:left w:val="none" w:sz="0" w:space="0" w:color="auto"/>
        <w:bottom w:val="none" w:sz="0" w:space="0" w:color="auto"/>
        <w:right w:val="none" w:sz="0" w:space="0" w:color="auto"/>
      </w:divBdr>
    </w:div>
    <w:div w:id="1457680174">
      <w:bodyDiv w:val="1"/>
      <w:marLeft w:val="0"/>
      <w:marRight w:val="0"/>
      <w:marTop w:val="0"/>
      <w:marBottom w:val="0"/>
      <w:divBdr>
        <w:top w:val="none" w:sz="0" w:space="0" w:color="auto"/>
        <w:left w:val="none" w:sz="0" w:space="0" w:color="auto"/>
        <w:bottom w:val="none" w:sz="0" w:space="0" w:color="auto"/>
        <w:right w:val="none" w:sz="0" w:space="0" w:color="auto"/>
      </w:divBdr>
    </w:div>
    <w:div w:id="1463689382">
      <w:bodyDiv w:val="1"/>
      <w:marLeft w:val="0"/>
      <w:marRight w:val="0"/>
      <w:marTop w:val="0"/>
      <w:marBottom w:val="0"/>
      <w:divBdr>
        <w:top w:val="none" w:sz="0" w:space="0" w:color="auto"/>
        <w:left w:val="none" w:sz="0" w:space="0" w:color="auto"/>
        <w:bottom w:val="none" w:sz="0" w:space="0" w:color="auto"/>
        <w:right w:val="none" w:sz="0" w:space="0" w:color="auto"/>
      </w:divBdr>
    </w:div>
    <w:div w:id="1519540315">
      <w:bodyDiv w:val="1"/>
      <w:marLeft w:val="0"/>
      <w:marRight w:val="0"/>
      <w:marTop w:val="0"/>
      <w:marBottom w:val="0"/>
      <w:divBdr>
        <w:top w:val="none" w:sz="0" w:space="0" w:color="auto"/>
        <w:left w:val="none" w:sz="0" w:space="0" w:color="auto"/>
        <w:bottom w:val="none" w:sz="0" w:space="0" w:color="auto"/>
        <w:right w:val="none" w:sz="0" w:space="0" w:color="auto"/>
      </w:divBdr>
    </w:div>
    <w:div w:id="1540166972">
      <w:bodyDiv w:val="1"/>
      <w:marLeft w:val="0"/>
      <w:marRight w:val="0"/>
      <w:marTop w:val="0"/>
      <w:marBottom w:val="0"/>
      <w:divBdr>
        <w:top w:val="none" w:sz="0" w:space="0" w:color="auto"/>
        <w:left w:val="none" w:sz="0" w:space="0" w:color="auto"/>
        <w:bottom w:val="none" w:sz="0" w:space="0" w:color="auto"/>
        <w:right w:val="none" w:sz="0" w:space="0" w:color="auto"/>
      </w:divBdr>
    </w:div>
    <w:div w:id="1603341376">
      <w:bodyDiv w:val="1"/>
      <w:marLeft w:val="0"/>
      <w:marRight w:val="0"/>
      <w:marTop w:val="0"/>
      <w:marBottom w:val="0"/>
      <w:divBdr>
        <w:top w:val="none" w:sz="0" w:space="0" w:color="auto"/>
        <w:left w:val="none" w:sz="0" w:space="0" w:color="auto"/>
        <w:bottom w:val="none" w:sz="0" w:space="0" w:color="auto"/>
        <w:right w:val="none" w:sz="0" w:space="0" w:color="auto"/>
      </w:divBdr>
    </w:div>
    <w:div w:id="1656298538">
      <w:bodyDiv w:val="1"/>
      <w:marLeft w:val="0"/>
      <w:marRight w:val="0"/>
      <w:marTop w:val="0"/>
      <w:marBottom w:val="0"/>
      <w:divBdr>
        <w:top w:val="none" w:sz="0" w:space="0" w:color="auto"/>
        <w:left w:val="none" w:sz="0" w:space="0" w:color="auto"/>
        <w:bottom w:val="none" w:sz="0" w:space="0" w:color="auto"/>
        <w:right w:val="none" w:sz="0" w:space="0" w:color="auto"/>
      </w:divBdr>
    </w:div>
    <w:div w:id="1686590083">
      <w:bodyDiv w:val="1"/>
      <w:marLeft w:val="0"/>
      <w:marRight w:val="0"/>
      <w:marTop w:val="0"/>
      <w:marBottom w:val="0"/>
      <w:divBdr>
        <w:top w:val="none" w:sz="0" w:space="0" w:color="auto"/>
        <w:left w:val="none" w:sz="0" w:space="0" w:color="auto"/>
        <w:bottom w:val="none" w:sz="0" w:space="0" w:color="auto"/>
        <w:right w:val="none" w:sz="0" w:space="0" w:color="auto"/>
      </w:divBdr>
    </w:div>
    <w:div w:id="1689409603">
      <w:bodyDiv w:val="1"/>
      <w:marLeft w:val="0"/>
      <w:marRight w:val="0"/>
      <w:marTop w:val="0"/>
      <w:marBottom w:val="0"/>
      <w:divBdr>
        <w:top w:val="none" w:sz="0" w:space="0" w:color="auto"/>
        <w:left w:val="none" w:sz="0" w:space="0" w:color="auto"/>
        <w:bottom w:val="none" w:sz="0" w:space="0" w:color="auto"/>
        <w:right w:val="none" w:sz="0" w:space="0" w:color="auto"/>
      </w:divBdr>
    </w:div>
    <w:div w:id="1692955523">
      <w:bodyDiv w:val="1"/>
      <w:marLeft w:val="0"/>
      <w:marRight w:val="0"/>
      <w:marTop w:val="0"/>
      <w:marBottom w:val="0"/>
      <w:divBdr>
        <w:top w:val="none" w:sz="0" w:space="0" w:color="auto"/>
        <w:left w:val="none" w:sz="0" w:space="0" w:color="auto"/>
        <w:bottom w:val="none" w:sz="0" w:space="0" w:color="auto"/>
        <w:right w:val="none" w:sz="0" w:space="0" w:color="auto"/>
      </w:divBdr>
    </w:div>
    <w:div w:id="1762991962">
      <w:bodyDiv w:val="1"/>
      <w:marLeft w:val="0"/>
      <w:marRight w:val="0"/>
      <w:marTop w:val="0"/>
      <w:marBottom w:val="0"/>
      <w:divBdr>
        <w:top w:val="none" w:sz="0" w:space="0" w:color="auto"/>
        <w:left w:val="none" w:sz="0" w:space="0" w:color="auto"/>
        <w:bottom w:val="none" w:sz="0" w:space="0" w:color="auto"/>
        <w:right w:val="none" w:sz="0" w:space="0" w:color="auto"/>
      </w:divBdr>
    </w:div>
    <w:div w:id="1895500841">
      <w:bodyDiv w:val="1"/>
      <w:marLeft w:val="0"/>
      <w:marRight w:val="0"/>
      <w:marTop w:val="0"/>
      <w:marBottom w:val="0"/>
      <w:divBdr>
        <w:top w:val="none" w:sz="0" w:space="0" w:color="auto"/>
        <w:left w:val="none" w:sz="0" w:space="0" w:color="auto"/>
        <w:bottom w:val="none" w:sz="0" w:space="0" w:color="auto"/>
        <w:right w:val="none" w:sz="0" w:space="0" w:color="auto"/>
      </w:divBdr>
    </w:div>
    <w:div w:id="1902447196">
      <w:bodyDiv w:val="1"/>
      <w:marLeft w:val="0"/>
      <w:marRight w:val="0"/>
      <w:marTop w:val="0"/>
      <w:marBottom w:val="0"/>
      <w:divBdr>
        <w:top w:val="none" w:sz="0" w:space="0" w:color="auto"/>
        <w:left w:val="none" w:sz="0" w:space="0" w:color="auto"/>
        <w:bottom w:val="none" w:sz="0" w:space="0" w:color="auto"/>
        <w:right w:val="none" w:sz="0" w:space="0" w:color="auto"/>
      </w:divBdr>
    </w:div>
    <w:div w:id="1934706430">
      <w:bodyDiv w:val="1"/>
      <w:marLeft w:val="0"/>
      <w:marRight w:val="0"/>
      <w:marTop w:val="0"/>
      <w:marBottom w:val="0"/>
      <w:divBdr>
        <w:top w:val="none" w:sz="0" w:space="0" w:color="auto"/>
        <w:left w:val="none" w:sz="0" w:space="0" w:color="auto"/>
        <w:bottom w:val="none" w:sz="0" w:space="0" w:color="auto"/>
        <w:right w:val="none" w:sz="0" w:space="0" w:color="auto"/>
      </w:divBdr>
    </w:div>
    <w:div w:id="1969505587">
      <w:bodyDiv w:val="1"/>
      <w:marLeft w:val="0"/>
      <w:marRight w:val="0"/>
      <w:marTop w:val="0"/>
      <w:marBottom w:val="0"/>
      <w:divBdr>
        <w:top w:val="none" w:sz="0" w:space="0" w:color="auto"/>
        <w:left w:val="none" w:sz="0" w:space="0" w:color="auto"/>
        <w:bottom w:val="none" w:sz="0" w:space="0" w:color="auto"/>
        <w:right w:val="none" w:sz="0" w:space="0" w:color="auto"/>
      </w:divBdr>
    </w:div>
    <w:div w:id="2126150549">
      <w:bodyDiv w:val="1"/>
      <w:marLeft w:val="0"/>
      <w:marRight w:val="0"/>
      <w:marTop w:val="0"/>
      <w:marBottom w:val="0"/>
      <w:divBdr>
        <w:top w:val="none" w:sz="0" w:space="0" w:color="auto"/>
        <w:left w:val="none" w:sz="0" w:space="0" w:color="auto"/>
        <w:bottom w:val="none" w:sz="0" w:space="0" w:color="auto"/>
        <w:right w:val="none" w:sz="0" w:space="0" w:color="auto"/>
      </w:divBdr>
    </w:div>
    <w:div w:id="213228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hart" Target="charts/chart7.xml"/><Relationship Id="rId21" Type="http://schemas.openxmlformats.org/officeDocument/2006/relationships/image" Target="media/image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anny:Dropbox:Branny:Thesis%20Research:TANZANIA%20HEALTH%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ranny:Dropbox:Branny:Thesis%20Research:TANZANIA%20HEALTH%20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ranny:Dropbox:Branny:Thesis%20Research:TANZANIA%20HEALTH%20STA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ranny:Dropbox:Branny:Thesis%20Research:TANZANIA%20HEALTH%20STA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ranny:Dropbox:Branny:Thesis%20Research:TANZANIA%20HEALTH%20ST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Branny:Dropbox:Branny:Thesis%20Research:TANZANIA%20HEALTH%20STA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Branny:Dropbox:Branny:Thesis%20Research:TANZANIA%20HEALTH%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0.0731979017226463"/>
          <c:y val="0.0308056872037915"/>
          <c:w val="0.889271516651517"/>
          <c:h val="0.733806698458467"/>
        </c:manualLayout>
      </c:layout>
      <c:barChart>
        <c:barDir val="col"/>
        <c:grouping val="percentStacked"/>
        <c:varyColors val="0"/>
        <c:ser>
          <c:idx val="0"/>
          <c:order val="0"/>
          <c:tx>
            <c:strRef>
              <c:f>Sheet2!$A$2</c:f>
              <c:strCache>
                <c:ptCount val="1"/>
                <c:pt idx="0">
                  <c:v>Quintile 1- Poorest 20%</c:v>
                </c:pt>
              </c:strCache>
            </c:strRef>
          </c:tx>
          <c:spPr>
            <a:pattFill prst="pct50">
              <a:fgClr>
                <a:schemeClr val="tx1"/>
              </a:fgClr>
              <a:bgClr>
                <a:prstClr val="white"/>
              </a:bgClr>
            </a:pattFill>
          </c:spPr>
          <c:invertIfNegative val="0"/>
          <c:cat>
            <c:strRef>
              <c:f>Sheet2!$B$1:$C$1</c:f>
              <c:strCache>
                <c:ptCount val="2"/>
                <c:pt idx="0">
                  <c:v>% share of benefit</c:v>
                </c:pt>
                <c:pt idx="1">
                  <c:v>% share of need</c:v>
                </c:pt>
              </c:strCache>
            </c:strRef>
          </c:cat>
          <c:val>
            <c:numRef>
              <c:f>Sheet2!$B$2:$C$2</c:f>
              <c:numCache>
                <c:formatCode>General</c:formatCode>
                <c:ptCount val="2"/>
                <c:pt idx="0">
                  <c:v>11.0</c:v>
                </c:pt>
                <c:pt idx="1">
                  <c:v>22.0</c:v>
                </c:pt>
              </c:numCache>
            </c:numRef>
          </c:val>
        </c:ser>
        <c:ser>
          <c:idx val="1"/>
          <c:order val="1"/>
          <c:tx>
            <c:strRef>
              <c:f>Sheet2!$A$3</c:f>
              <c:strCache>
                <c:ptCount val="1"/>
                <c:pt idx="0">
                  <c:v>Quintile 2- Second Poorest 20%</c:v>
                </c:pt>
              </c:strCache>
            </c:strRef>
          </c:tx>
          <c:spPr>
            <a:pattFill prst="pct5">
              <a:fgClr>
                <a:schemeClr val="tx1"/>
              </a:fgClr>
              <a:bgClr>
                <a:prstClr val="white"/>
              </a:bgClr>
            </a:pattFill>
          </c:spPr>
          <c:invertIfNegative val="0"/>
          <c:cat>
            <c:strRef>
              <c:f>Sheet2!$B$1:$C$1</c:f>
              <c:strCache>
                <c:ptCount val="2"/>
                <c:pt idx="0">
                  <c:v>% share of benefit</c:v>
                </c:pt>
                <c:pt idx="1">
                  <c:v>% share of need</c:v>
                </c:pt>
              </c:strCache>
            </c:strRef>
          </c:cat>
          <c:val>
            <c:numRef>
              <c:f>Sheet2!$B$3:$C$3</c:f>
              <c:numCache>
                <c:formatCode>General</c:formatCode>
                <c:ptCount val="2"/>
                <c:pt idx="0">
                  <c:v>21.25</c:v>
                </c:pt>
                <c:pt idx="1">
                  <c:v>20.0</c:v>
                </c:pt>
              </c:numCache>
            </c:numRef>
          </c:val>
        </c:ser>
        <c:ser>
          <c:idx val="2"/>
          <c:order val="2"/>
          <c:tx>
            <c:strRef>
              <c:f>Sheet2!$A$4</c:f>
              <c:strCache>
                <c:ptCount val="1"/>
                <c:pt idx="0">
                  <c:v>Quintile 3- Middle</c:v>
                </c:pt>
              </c:strCache>
            </c:strRef>
          </c:tx>
          <c:spPr>
            <a:pattFill prst="wdDnDiag">
              <a:fgClr>
                <a:schemeClr val="tx1"/>
              </a:fgClr>
              <a:bgClr>
                <a:prstClr val="white"/>
              </a:bgClr>
            </a:pattFill>
          </c:spPr>
          <c:invertIfNegative val="0"/>
          <c:cat>
            <c:strRef>
              <c:f>Sheet2!$B$1:$C$1</c:f>
              <c:strCache>
                <c:ptCount val="2"/>
                <c:pt idx="0">
                  <c:v>% share of benefit</c:v>
                </c:pt>
                <c:pt idx="1">
                  <c:v>% share of need</c:v>
                </c:pt>
              </c:strCache>
            </c:strRef>
          </c:cat>
          <c:val>
            <c:numRef>
              <c:f>Sheet2!$B$4:$C$4</c:f>
              <c:numCache>
                <c:formatCode>General</c:formatCode>
                <c:ptCount val="2"/>
                <c:pt idx="0">
                  <c:v>22.25</c:v>
                </c:pt>
                <c:pt idx="1">
                  <c:v>20.0</c:v>
                </c:pt>
              </c:numCache>
            </c:numRef>
          </c:val>
        </c:ser>
        <c:ser>
          <c:idx val="3"/>
          <c:order val="3"/>
          <c:tx>
            <c:strRef>
              <c:f>Sheet2!$A$5</c:f>
              <c:strCache>
                <c:ptCount val="1"/>
                <c:pt idx="0">
                  <c:v>Quintile 4- Second Richest 20%</c:v>
                </c:pt>
              </c:strCache>
            </c:strRef>
          </c:tx>
          <c:spPr>
            <a:pattFill prst="lgGrid">
              <a:fgClr>
                <a:schemeClr val="tx1"/>
              </a:fgClr>
              <a:bgClr>
                <a:prstClr val="white"/>
              </a:bgClr>
            </a:pattFill>
          </c:spPr>
          <c:invertIfNegative val="0"/>
          <c:cat>
            <c:strRef>
              <c:f>Sheet2!$B$1:$C$1</c:f>
              <c:strCache>
                <c:ptCount val="2"/>
                <c:pt idx="0">
                  <c:v>% share of benefit</c:v>
                </c:pt>
                <c:pt idx="1">
                  <c:v>% share of need</c:v>
                </c:pt>
              </c:strCache>
            </c:strRef>
          </c:cat>
          <c:val>
            <c:numRef>
              <c:f>Sheet2!$B$5:$C$5</c:f>
              <c:numCache>
                <c:formatCode>General</c:formatCode>
                <c:ptCount val="2"/>
                <c:pt idx="0">
                  <c:v>22.5</c:v>
                </c:pt>
                <c:pt idx="1">
                  <c:v>20.0</c:v>
                </c:pt>
              </c:numCache>
            </c:numRef>
          </c:val>
        </c:ser>
        <c:ser>
          <c:idx val="4"/>
          <c:order val="4"/>
          <c:tx>
            <c:strRef>
              <c:f>Sheet2!$A$6</c:f>
              <c:strCache>
                <c:ptCount val="1"/>
                <c:pt idx="0">
                  <c:v>Quintile 5- Richest 20%</c:v>
                </c:pt>
              </c:strCache>
            </c:strRef>
          </c:tx>
          <c:spPr>
            <a:pattFill prst="wave">
              <a:fgClr>
                <a:schemeClr val="tx1"/>
              </a:fgClr>
              <a:bgClr>
                <a:prstClr val="white"/>
              </a:bgClr>
            </a:pattFill>
          </c:spPr>
          <c:invertIfNegative val="0"/>
          <c:cat>
            <c:strRef>
              <c:f>Sheet2!$B$1:$C$1</c:f>
              <c:strCache>
                <c:ptCount val="2"/>
                <c:pt idx="0">
                  <c:v>% share of benefit</c:v>
                </c:pt>
                <c:pt idx="1">
                  <c:v>% share of need</c:v>
                </c:pt>
              </c:strCache>
            </c:strRef>
          </c:cat>
          <c:val>
            <c:numRef>
              <c:f>Sheet2!$B$6:$C$6</c:f>
              <c:numCache>
                <c:formatCode>General</c:formatCode>
                <c:ptCount val="2"/>
                <c:pt idx="0">
                  <c:v>23.0</c:v>
                </c:pt>
                <c:pt idx="1">
                  <c:v>18.0</c:v>
                </c:pt>
              </c:numCache>
            </c:numRef>
          </c:val>
        </c:ser>
        <c:dLbls>
          <c:showLegendKey val="0"/>
          <c:showVal val="0"/>
          <c:showCatName val="0"/>
          <c:showSerName val="0"/>
          <c:showPercent val="0"/>
          <c:showBubbleSize val="0"/>
        </c:dLbls>
        <c:gapWidth val="150"/>
        <c:overlap val="100"/>
        <c:axId val="466580504"/>
        <c:axId val="464250904"/>
      </c:barChart>
      <c:catAx>
        <c:axId val="466580504"/>
        <c:scaling>
          <c:orientation val="minMax"/>
        </c:scaling>
        <c:delete val="0"/>
        <c:axPos val="b"/>
        <c:majorTickMark val="out"/>
        <c:minorTickMark val="none"/>
        <c:tickLblPos val="nextTo"/>
        <c:txPr>
          <a:bodyPr/>
          <a:lstStyle/>
          <a:p>
            <a:pPr>
              <a:defRPr sz="1000">
                <a:latin typeface="Times New Roman"/>
                <a:cs typeface="Times New Roman"/>
              </a:defRPr>
            </a:pPr>
            <a:endParaRPr lang="en-US"/>
          </a:p>
        </c:txPr>
        <c:crossAx val="464250904"/>
        <c:crosses val="autoZero"/>
        <c:auto val="1"/>
        <c:lblAlgn val="ctr"/>
        <c:lblOffset val="100"/>
        <c:noMultiLvlLbl val="0"/>
      </c:catAx>
      <c:valAx>
        <c:axId val="464250904"/>
        <c:scaling>
          <c:orientation val="minMax"/>
        </c:scaling>
        <c:delete val="0"/>
        <c:axPos val="l"/>
        <c:majorGridlines/>
        <c:numFmt formatCode="0%" sourceLinked="1"/>
        <c:majorTickMark val="out"/>
        <c:minorTickMark val="none"/>
        <c:tickLblPos val="nextTo"/>
        <c:crossAx val="466580504"/>
        <c:crosses val="autoZero"/>
        <c:crossBetween val="between"/>
      </c:valAx>
    </c:plotArea>
    <c:legend>
      <c:legendPos val="b"/>
      <c:layout>
        <c:manualLayout>
          <c:xMode val="edge"/>
          <c:yMode val="edge"/>
          <c:x val="0.0160315532246309"/>
          <c:y val="0.862362817488281"/>
          <c:w val="0.958763450848136"/>
          <c:h val="0.118679889539874"/>
        </c:manualLayout>
      </c:layout>
      <c:overlay val="0"/>
      <c:txPr>
        <a:bodyPr/>
        <a:lstStyle/>
        <a:p>
          <a:pPr>
            <a:defRPr sz="1000">
              <a:latin typeface="Times New Roman"/>
              <a:cs typeface="Times New Roman"/>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943828343698719"/>
          <c:y val="0.0757780784844384"/>
          <c:w val="0.882850090323648"/>
          <c:h val="0.63999632162768"/>
        </c:manualLayout>
      </c:layout>
      <c:barChart>
        <c:barDir val="col"/>
        <c:grouping val="stacked"/>
        <c:varyColors val="0"/>
        <c:ser>
          <c:idx val="0"/>
          <c:order val="0"/>
          <c:tx>
            <c:strRef>
              <c:f>Sheet3!$B$1</c:f>
              <c:strCache>
                <c:ptCount val="1"/>
                <c:pt idx="0">
                  <c:v>All taxes</c:v>
                </c:pt>
              </c:strCache>
            </c:strRef>
          </c:tx>
          <c:spPr>
            <a:pattFill prst="pct50">
              <a:fgClr>
                <a:schemeClr val="tx1"/>
              </a:fgClr>
              <a:bgClr>
                <a:prstClr val="white"/>
              </a:bgClr>
            </a:pattFill>
          </c:spPr>
          <c:invertIfNegative val="0"/>
          <c:cat>
            <c:strRef>
              <c:f>Sheet3!$A$2:$A$6</c:f>
              <c:strCache>
                <c:ptCount val="5"/>
                <c:pt idx="0">
                  <c:v>Quintile 1- Poorest 20%</c:v>
                </c:pt>
                <c:pt idx="1">
                  <c:v>Quintile 2- Second Poorest 20%</c:v>
                </c:pt>
                <c:pt idx="2">
                  <c:v>Quintile 3- Middle</c:v>
                </c:pt>
                <c:pt idx="3">
                  <c:v>Quintile 4- Second Richest 20%</c:v>
                </c:pt>
                <c:pt idx="4">
                  <c:v>Quintile 5- Richest 20%</c:v>
                </c:pt>
              </c:strCache>
            </c:strRef>
          </c:cat>
          <c:val>
            <c:numRef>
              <c:f>Sheet3!$B$2:$B$6</c:f>
              <c:numCache>
                <c:formatCode>0.00%</c:formatCode>
                <c:ptCount val="5"/>
                <c:pt idx="0">
                  <c:v>0.0099</c:v>
                </c:pt>
                <c:pt idx="1">
                  <c:v>0.011</c:v>
                </c:pt>
                <c:pt idx="2">
                  <c:v>0.0115</c:v>
                </c:pt>
                <c:pt idx="3">
                  <c:v>0.015</c:v>
                </c:pt>
                <c:pt idx="4">
                  <c:v>0.024</c:v>
                </c:pt>
              </c:numCache>
            </c:numRef>
          </c:val>
        </c:ser>
        <c:ser>
          <c:idx val="1"/>
          <c:order val="1"/>
          <c:tx>
            <c:strRef>
              <c:f>Sheet3!$C$1</c:f>
              <c:strCache>
                <c:ptCount val="1"/>
                <c:pt idx="0">
                  <c:v>OOP</c:v>
                </c:pt>
              </c:strCache>
            </c:strRef>
          </c:tx>
          <c:spPr>
            <a:pattFill prst="divot">
              <a:fgClr>
                <a:schemeClr val="tx1"/>
              </a:fgClr>
              <a:bgClr>
                <a:prstClr val="white"/>
              </a:bgClr>
            </a:pattFill>
          </c:spPr>
          <c:invertIfNegative val="0"/>
          <c:cat>
            <c:strRef>
              <c:f>Sheet3!$A$2:$A$6</c:f>
              <c:strCache>
                <c:ptCount val="5"/>
                <c:pt idx="0">
                  <c:v>Quintile 1- Poorest 20%</c:v>
                </c:pt>
                <c:pt idx="1">
                  <c:v>Quintile 2- Second Poorest 20%</c:v>
                </c:pt>
                <c:pt idx="2">
                  <c:v>Quintile 3- Middle</c:v>
                </c:pt>
                <c:pt idx="3">
                  <c:v>Quintile 4- Second Richest 20%</c:v>
                </c:pt>
                <c:pt idx="4">
                  <c:v>Quintile 5- Richest 20%</c:v>
                </c:pt>
              </c:strCache>
            </c:strRef>
          </c:cat>
          <c:val>
            <c:numRef>
              <c:f>Sheet3!$C$2:$C$6</c:f>
              <c:numCache>
                <c:formatCode>0.00%</c:formatCode>
                <c:ptCount val="5"/>
                <c:pt idx="0">
                  <c:v>0.031</c:v>
                </c:pt>
                <c:pt idx="1">
                  <c:v>0.024</c:v>
                </c:pt>
                <c:pt idx="2">
                  <c:v>0.023</c:v>
                </c:pt>
                <c:pt idx="3">
                  <c:v>0.023</c:v>
                </c:pt>
                <c:pt idx="4">
                  <c:v>0.018</c:v>
                </c:pt>
              </c:numCache>
            </c:numRef>
          </c:val>
        </c:ser>
        <c:ser>
          <c:idx val="2"/>
          <c:order val="2"/>
          <c:tx>
            <c:strRef>
              <c:f>Sheet3!$D$1</c:f>
              <c:strCache>
                <c:ptCount val="1"/>
                <c:pt idx="0">
                  <c:v>NHIF</c:v>
                </c:pt>
              </c:strCache>
            </c:strRef>
          </c:tx>
          <c:spPr>
            <a:pattFill prst="smCheck">
              <a:fgClr>
                <a:schemeClr val="tx1"/>
              </a:fgClr>
              <a:bgClr>
                <a:prstClr val="white"/>
              </a:bgClr>
            </a:pattFill>
          </c:spPr>
          <c:invertIfNegative val="0"/>
          <c:cat>
            <c:strRef>
              <c:f>Sheet3!$A$2:$A$6</c:f>
              <c:strCache>
                <c:ptCount val="5"/>
                <c:pt idx="0">
                  <c:v>Quintile 1- Poorest 20%</c:v>
                </c:pt>
                <c:pt idx="1">
                  <c:v>Quintile 2- Second Poorest 20%</c:v>
                </c:pt>
                <c:pt idx="2">
                  <c:v>Quintile 3- Middle</c:v>
                </c:pt>
                <c:pt idx="3">
                  <c:v>Quintile 4- Second Richest 20%</c:v>
                </c:pt>
                <c:pt idx="4">
                  <c:v>Quintile 5- Richest 20%</c:v>
                </c:pt>
              </c:strCache>
            </c:strRef>
          </c:cat>
          <c:val>
            <c:numRef>
              <c:f>Sheet3!$D$2:$D$6</c:f>
              <c:numCache>
                <c:formatCode>General</c:formatCode>
                <c:ptCount val="5"/>
                <c:pt idx="3" formatCode="0.00%">
                  <c:v>0.001</c:v>
                </c:pt>
                <c:pt idx="4" formatCode="0.00%">
                  <c:v>0.0015</c:v>
                </c:pt>
              </c:numCache>
            </c:numRef>
          </c:val>
        </c:ser>
        <c:ser>
          <c:idx val="3"/>
          <c:order val="3"/>
          <c:tx>
            <c:strRef>
              <c:f>Sheet3!$E$1</c:f>
              <c:strCache>
                <c:ptCount val="1"/>
                <c:pt idx="0">
                  <c:v>CHF</c:v>
                </c:pt>
              </c:strCache>
            </c:strRef>
          </c:tx>
          <c:spPr>
            <a:solidFill>
              <a:schemeClr val="tx1"/>
            </a:solidFill>
          </c:spPr>
          <c:invertIfNegative val="0"/>
          <c:cat>
            <c:strRef>
              <c:f>Sheet3!$A$2:$A$6</c:f>
              <c:strCache>
                <c:ptCount val="5"/>
                <c:pt idx="0">
                  <c:v>Quintile 1- Poorest 20%</c:v>
                </c:pt>
                <c:pt idx="1">
                  <c:v>Quintile 2- Second Poorest 20%</c:v>
                </c:pt>
                <c:pt idx="2">
                  <c:v>Quintile 3- Middle</c:v>
                </c:pt>
                <c:pt idx="3">
                  <c:v>Quintile 4- Second Richest 20%</c:v>
                </c:pt>
                <c:pt idx="4">
                  <c:v>Quintile 5- Richest 20%</c:v>
                </c:pt>
              </c:strCache>
            </c:strRef>
          </c:cat>
          <c:val>
            <c:numRef>
              <c:f>Sheet3!$E$2:$E$6</c:f>
              <c:numCache>
                <c:formatCode>0.00%</c:formatCode>
                <c:ptCount val="5"/>
                <c:pt idx="0">
                  <c:v>0.0006</c:v>
                </c:pt>
                <c:pt idx="1">
                  <c:v>0.0005</c:v>
                </c:pt>
                <c:pt idx="2">
                  <c:v>0.0004</c:v>
                </c:pt>
                <c:pt idx="3">
                  <c:v>0.0002</c:v>
                </c:pt>
                <c:pt idx="4">
                  <c:v>0.0001</c:v>
                </c:pt>
              </c:numCache>
            </c:numRef>
          </c:val>
        </c:ser>
        <c:dLbls>
          <c:showLegendKey val="0"/>
          <c:showVal val="0"/>
          <c:showCatName val="0"/>
          <c:showSerName val="0"/>
          <c:showPercent val="0"/>
          <c:showBubbleSize val="0"/>
        </c:dLbls>
        <c:gapWidth val="75"/>
        <c:overlap val="100"/>
        <c:axId val="649804248"/>
        <c:axId val="466175048"/>
      </c:barChart>
      <c:catAx>
        <c:axId val="649804248"/>
        <c:scaling>
          <c:orientation val="minMax"/>
        </c:scaling>
        <c:delete val="0"/>
        <c:axPos val="b"/>
        <c:title>
          <c:tx>
            <c:rich>
              <a:bodyPr/>
              <a:lstStyle/>
              <a:p>
                <a:pPr>
                  <a:defRPr sz="1200">
                    <a:latin typeface="Times New Roman"/>
                    <a:cs typeface="Times New Roman"/>
                  </a:defRPr>
                </a:pPr>
                <a:r>
                  <a:rPr lang="en-US" sz="1200">
                    <a:latin typeface="Times New Roman"/>
                    <a:cs typeface="Times New Roman"/>
                  </a:rPr>
                  <a:t>Income Quintile</a:t>
                </a:r>
              </a:p>
            </c:rich>
          </c:tx>
          <c:layout>
            <c:manualLayout>
              <c:xMode val="edge"/>
              <c:yMode val="edge"/>
              <c:x val="0.44055301586198"/>
              <c:y val="0.854897570872986"/>
            </c:manualLayout>
          </c:layout>
          <c:overlay val="0"/>
        </c:title>
        <c:majorTickMark val="none"/>
        <c:minorTickMark val="none"/>
        <c:tickLblPos val="nextTo"/>
        <c:txPr>
          <a:bodyPr/>
          <a:lstStyle/>
          <a:p>
            <a:pPr>
              <a:defRPr sz="1100">
                <a:latin typeface="Times New Roman"/>
                <a:cs typeface="Times New Roman"/>
              </a:defRPr>
            </a:pPr>
            <a:endParaRPr lang="en-US"/>
          </a:p>
        </c:txPr>
        <c:crossAx val="466175048"/>
        <c:crosses val="autoZero"/>
        <c:auto val="1"/>
        <c:lblAlgn val="ctr"/>
        <c:lblOffset val="100"/>
        <c:noMultiLvlLbl val="0"/>
      </c:catAx>
      <c:valAx>
        <c:axId val="466175048"/>
        <c:scaling>
          <c:orientation val="minMax"/>
          <c:max val="0.06"/>
        </c:scaling>
        <c:delete val="0"/>
        <c:axPos val="l"/>
        <c:majorGridlines/>
        <c:title>
          <c:tx>
            <c:rich>
              <a:bodyPr rot="-5400000" vert="horz"/>
              <a:lstStyle/>
              <a:p>
                <a:pPr>
                  <a:defRPr sz="1200">
                    <a:latin typeface="Times New Roman"/>
                    <a:cs typeface="Times New Roman"/>
                  </a:defRPr>
                </a:pPr>
                <a:r>
                  <a:rPr lang="en-US" sz="1200">
                    <a:latin typeface="Times New Roman"/>
                    <a:cs typeface="Times New Roman"/>
                  </a:rPr>
                  <a:t>Payments as a % of Income</a:t>
                </a:r>
              </a:p>
            </c:rich>
          </c:tx>
          <c:layout/>
          <c:overlay val="0"/>
        </c:title>
        <c:numFmt formatCode="0%" sourceLinked="0"/>
        <c:majorTickMark val="none"/>
        <c:minorTickMark val="none"/>
        <c:tickLblPos val="nextTo"/>
        <c:spPr>
          <a:ln w="9525">
            <a:noFill/>
          </a:ln>
        </c:spPr>
        <c:crossAx val="649804248"/>
        <c:crosses val="autoZero"/>
        <c:crossBetween val="between"/>
      </c:valAx>
    </c:plotArea>
    <c:legend>
      <c:legendPos val="b"/>
      <c:layout>
        <c:manualLayout>
          <c:xMode val="edge"/>
          <c:yMode val="edge"/>
          <c:x val="0.267052165354331"/>
          <c:y val="0.929787239352609"/>
          <c:w val="0.465895669291339"/>
          <c:h val="0.0670431885396259"/>
        </c:manualLayout>
      </c:layout>
      <c:overlay val="0"/>
      <c:txPr>
        <a:bodyPr/>
        <a:lstStyle/>
        <a:p>
          <a:pPr>
            <a:defRPr sz="1200">
              <a:latin typeface="Times New Roman"/>
              <a:cs typeface="Times New Roman"/>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600">
                <a:latin typeface="Times New Roman"/>
                <a:cs typeface="Times New Roman"/>
              </a:defRPr>
            </a:pPr>
            <a:r>
              <a:rPr lang="en-US" sz="1600">
                <a:latin typeface="Times New Roman"/>
                <a:cs typeface="Times New Roman"/>
              </a:rPr>
              <a:t>Expenditure on Health as a % of THE in Tanzania</a:t>
            </a:r>
          </a:p>
        </c:rich>
      </c:tx>
      <c:layout/>
      <c:overlay val="0"/>
    </c:title>
    <c:autoTitleDeleted val="0"/>
    <c:plotArea>
      <c:layout/>
      <c:barChart>
        <c:barDir val="col"/>
        <c:grouping val="stacked"/>
        <c:varyColors val="0"/>
        <c:ser>
          <c:idx val="1"/>
          <c:order val="0"/>
          <c:tx>
            <c:v>Private</c:v>
          </c:tx>
          <c:invertIfNegative val="0"/>
          <c:cat>
            <c:numRef>
              <c:f>'$'!$A$2:$A$16</c:f>
              <c:numCache>
                <c:formatCode>General</c:formatCode>
                <c:ptCount val="15"/>
                <c:pt idx="0">
                  <c:v>1995.0</c:v>
                </c:pt>
                <c:pt idx="5">
                  <c:v>2000.0</c:v>
                </c:pt>
                <c:pt idx="10">
                  <c:v>2005.0</c:v>
                </c:pt>
                <c:pt idx="14">
                  <c:v>2009.0</c:v>
                </c:pt>
              </c:numCache>
            </c:numRef>
          </c:cat>
          <c:val>
            <c:numRef>
              <c:f>'$'!$E$2:$E$16</c:f>
              <c:numCache>
                <c:formatCode>General</c:formatCode>
                <c:ptCount val="15"/>
                <c:pt idx="0">
                  <c:v>59.9</c:v>
                </c:pt>
                <c:pt idx="1">
                  <c:v>55.5</c:v>
                </c:pt>
                <c:pt idx="2">
                  <c:v>57.5</c:v>
                </c:pt>
                <c:pt idx="3">
                  <c:v>61.5</c:v>
                </c:pt>
                <c:pt idx="4">
                  <c:v>58.4</c:v>
                </c:pt>
                <c:pt idx="5">
                  <c:v>56.6</c:v>
                </c:pt>
                <c:pt idx="6">
                  <c:v>55.8</c:v>
                </c:pt>
                <c:pt idx="7">
                  <c:v>55.3</c:v>
                </c:pt>
                <c:pt idx="8">
                  <c:v>50.5</c:v>
                </c:pt>
                <c:pt idx="9">
                  <c:v>56.8</c:v>
                </c:pt>
                <c:pt idx="10">
                  <c:v>51.5</c:v>
                </c:pt>
                <c:pt idx="11">
                  <c:v>41.1</c:v>
                </c:pt>
                <c:pt idx="12">
                  <c:v>27.2</c:v>
                </c:pt>
                <c:pt idx="13">
                  <c:v>28.1</c:v>
                </c:pt>
                <c:pt idx="14">
                  <c:v>26.4</c:v>
                </c:pt>
              </c:numCache>
            </c:numRef>
          </c:val>
        </c:ser>
        <c:ser>
          <c:idx val="2"/>
          <c:order val="1"/>
          <c:tx>
            <c:v>Public</c:v>
          </c:tx>
          <c:invertIfNegative val="0"/>
          <c:cat>
            <c:numRef>
              <c:f>'$'!$A$2:$A$16</c:f>
              <c:numCache>
                <c:formatCode>General</c:formatCode>
                <c:ptCount val="15"/>
                <c:pt idx="0">
                  <c:v>1995.0</c:v>
                </c:pt>
                <c:pt idx="5">
                  <c:v>2000.0</c:v>
                </c:pt>
                <c:pt idx="10">
                  <c:v>2005.0</c:v>
                </c:pt>
                <c:pt idx="14">
                  <c:v>2009.0</c:v>
                </c:pt>
              </c:numCache>
            </c:numRef>
          </c:cat>
          <c:val>
            <c:numRef>
              <c:f>'$'!$F$2:$F$16</c:f>
              <c:numCache>
                <c:formatCode>General</c:formatCode>
                <c:ptCount val="15"/>
                <c:pt idx="0">
                  <c:v>40.1</c:v>
                </c:pt>
                <c:pt idx="1">
                  <c:v>44.5</c:v>
                </c:pt>
                <c:pt idx="2">
                  <c:v>42.5</c:v>
                </c:pt>
                <c:pt idx="3">
                  <c:v>38.5</c:v>
                </c:pt>
                <c:pt idx="4">
                  <c:v>41.6</c:v>
                </c:pt>
                <c:pt idx="5">
                  <c:v>43.4</c:v>
                </c:pt>
                <c:pt idx="6">
                  <c:v>44.2</c:v>
                </c:pt>
                <c:pt idx="7">
                  <c:v>44.7</c:v>
                </c:pt>
                <c:pt idx="8">
                  <c:v>49.5</c:v>
                </c:pt>
                <c:pt idx="9">
                  <c:v>43.2</c:v>
                </c:pt>
                <c:pt idx="10">
                  <c:v>48.5</c:v>
                </c:pt>
                <c:pt idx="11">
                  <c:v>58.9</c:v>
                </c:pt>
                <c:pt idx="12">
                  <c:v>72.8</c:v>
                </c:pt>
                <c:pt idx="13">
                  <c:v>71.9</c:v>
                </c:pt>
                <c:pt idx="14">
                  <c:v>73.6</c:v>
                </c:pt>
              </c:numCache>
            </c:numRef>
          </c:val>
        </c:ser>
        <c:dLbls>
          <c:showLegendKey val="0"/>
          <c:showVal val="0"/>
          <c:showCatName val="0"/>
          <c:showSerName val="0"/>
          <c:showPercent val="0"/>
          <c:showBubbleSize val="0"/>
        </c:dLbls>
        <c:gapWidth val="150"/>
        <c:overlap val="100"/>
        <c:axId val="463814840"/>
        <c:axId val="464331464"/>
      </c:barChart>
      <c:lineChart>
        <c:grouping val="standard"/>
        <c:varyColors val="0"/>
        <c:ser>
          <c:idx val="0"/>
          <c:order val="2"/>
          <c:tx>
            <c:v>OOP Expenditure as a % of Private</c:v>
          </c:tx>
          <c:cat>
            <c:numRef>
              <c:f>'$'!$A$2:$A$16</c:f>
              <c:numCache>
                <c:formatCode>General</c:formatCode>
                <c:ptCount val="15"/>
                <c:pt idx="0">
                  <c:v>1995.0</c:v>
                </c:pt>
                <c:pt idx="5">
                  <c:v>2000.0</c:v>
                </c:pt>
                <c:pt idx="10">
                  <c:v>2005.0</c:v>
                </c:pt>
                <c:pt idx="14">
                  <c:v>2009.0</c:v>
                </c:pt>
              </c:numCache>
            </c:numRef>
          </c:cat>
          <c:val>
            <c:numRef>
              <c:f>'$'!$C$2:$C$16</c:f>
              <c:numCache>
                <c:formatCode>General</c:formatCode>
                <c:ptCount val="15"/>
                <c:pt idx="0">
                  <c:v>83.5</c:v>
                </c:pt>
                <c:pt idx="1">
                  <c:v>83.5</c:v>
                </c:pt>
                <c:pt idx="2">
                  <c:v>83.5</c:v>
                </c:pt>
                <c:pt idx="3">
                  <c:v>83.5</c:v>
                </c:pt>
                <c:pt idx="4">
                  <c:v>83.5</c:v>
                </c:pt>
                <c:pt idx="5">
                  <c:v>83.5</c:v>
                </c:pt>
                <c:pt idx="6">
                  <c:v>83.5</c:v>
                </c:pt>
                <c:pt idx="7">
                  <c:v>83.5</c:v>
                </c:pt>
                <c:pt idx="8">
                  <c:v>87.3</c:v>
                </c:pt>
                <c:pt idx="9">
                  <c:v>79.4</c:v>
                </c:pt>
                <c:pt idx="10">
                  <c:v>77.6</c:v>
                </c:pt>
                <c:pt idx="11">
                  <c:v>54.3</c:v>
                </c:pt>
                <c:pt idx="12">
                  <c:v>65.1</c:v>
                </c:pt>
                <c:pt idx="13">
                  <c:v>65.1</c:v>
                </c:pt>
                <c:pt idx="14">
                  <c:v>65.1</c:v>
                </c:pt>
              </c:numCache>
            </c:numRef>
          </c:val>
          <c:smooth val="0"/>
        </c:ser>
        <c:dLbls>
          <c:showLegendKey val="0"/>
          <c:showVal val="0"/>
          <c:showCatName val="0"/>
          <c:showSerName val="0"/>
          <c:showPercent val="0"/>
          <c:showBubbleSize val="0"/>
        </c:dLbls>
        <c:marker val="1"/>
        <c:smooth val="0"/>
        <c:axId val="464386952"/>
        <c:axId val="3900568"/>
      </c:lineChart>
      <c:catAx>
        <c:axId val="463814840"/>
        <c:scaling>
          <c:orientation val="minMax"/>
        </c:scaling>
        <c:delete val="0"/>
        <c:axPos val="b"/>
        <c:title>
          <c:tx>
            <c:rich>
              <a:bodyPr/>
              <a:lstStyle/>
              <a:p>
                <a:pPr>
                  <a:defRPr/>
                </a:pPr>
                <a:r>
                  <a:rPr lang="en-US"/>
                  <a:t>Year</a:t>
                </a:r>
              </a:p>
            </c:rich>
          </c:tx>
          <c:layout>
            <c:manualLayout>
              <c:xMode val="edge"/>
              <c:yMode val="edge"/>
              <c:x val="0.471290415164032"/>
              <c:y val="0.883454734651405"/>
            </c:manualLayout>
          </c:layout>
          <c:overlay val="0"/>
        </c:title>
        <c:numFmt formatCode="General" sourceLinked="1"/>
        <c:majorTickMark val="out"/>
        <c:minorTickMark val="none"/>
        <c:tickLblPos val="nextTo"/>
        <c:crossAx val="464331464"/>
        <c:crosses val="autoZero"/>
        <c:auto val="1"/>
        <c:lblAlgn val="ctr"/>
        <c:lblOffset val="100"/>
        <c:noMultiLvlLbl val="0"/>
      </c:catAx>
      <c:valAx>
        <c:axId val="464331464"/>
        <c:scaling>
          <c:orientation val="minMax"/>
          <c:max val="100.0"/>
        </c:scaling>
        <c:delete val="0"/>
        <c:axPos val="l"/>
        <c:majorGridlines/>
        <c:title>
          <c:tx>
            <c:rich>
              <a:bodyPr rot="-5400000" vert="horz"/>
              <a:lstStyle/>
              <a:p>
                <a:pPr>
                  <a:defRPr/>
                </a:pPr>
                <a:r>
                  <a:rPr lang="en-US"/>
                  <a:t>%</a:t>
                </a:r>
              </a:p>
            </c:rich>
          </c:tx>
          <c:layout/>
          <c:overlay val="0"/>
        </c:title>
        <c:numFmt formatCode="General" sourceLinked="1"/>
        <c:majorTickMark val="out"/>
        <c:minorTickMark val="none"/>
        <c:tickLblPos val="nextTo"/>
        <c:crossAx val="463814840"/>
        <c:crosses val="autoZero"/>
        <c:crossBetween val="between"/>
      </c:valAx>
      <c:valAx>
        <c:axId val="3900568"/>
        <c:scaling>
          <c:orientation val="minMax"/>
        </c:scaling>
        <c:delete val="1"/>
        <c:axPos val="r"/>
        <c:numFmt formatCode="General" sourceLinked="1"/>
        <c:majorTickMark val="out"/>
        <c:minorTickMark val="none"/>
        <c:tickLblPos val="nextTo"/>
        <c:crossAx val="464386952"/>
        <c:crosses val="max"/>
        <c:crossBetween val="between"/>
      </c:valAx>
      <c:catAx>
        <c:axId val="464386952"/>
        <c:scaling>
          <c:orientation val="minMax"/>
        </c:scaling>
        <c:delete val="1"/>
        <c:axPos val="b"/>
        <c:numFmt formatCode="General" sourceLinked="1"/>
        <c:majorTickMark val="out"/>
        <c:minorTickMark val="none"/>
        <c:tickLblPos val="nextTo"/>
        <c:crossAx val="3900568"/>
        <c:crosses val="autoZero"/>
        <c:auto val="1"/>
        <c:lblAlgn val="ctr"/>
        <c:lblOffset val="100"/>
        <c:noMultiLvlLbl val="0"/>
      </c:cat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578903601285463"/>
          <c:y val="0.0599571734475375"/>
          <c:w val="0.92387682079712"/>
          <c:h val="0.673103572774913"/>
        </c:manualLayout>
      </c:layout>
      <c:barChart>
        <c:barDir val="col"/>
        <c:grouping val="clustered"/>
        <c:varyColors val="0"/>
        <c:ser>
          <c:idx val="0"/>
          <c:order val="0"/>
          <c:tx>
            <c:strRef>
              <c:f>Sheet4!$A$3</c:f>
              <c:strCache>
                <c:ptCount val="1"/>
                <c:pt idx="0">
                  <c:v>Quintile 1- Poorest 20%</c:v>
                </c:pt>
              </c:strCache>
            </c:strRef>
          </c:tx>
          <c:spPr>
            <a:pattFill prst="pct50">
              <a:fgClr>
                <a:schemeClr val="tx1"/>
              </a:fgClr>
              <a:bgClr>
                <a:prstClr val="white"/>
              </a:bgClr>
            </a:pattFill>
          </c:spPr>
          <c:invertIfNegative val="0"/>
          <c:cat>
            <c:strRef>
              <c:f>Sheet4!$B$2:$E$2</c:f>
              <c:strCache>
                <c:ptCount val="4"/>
                <c:pt idx="0">
                  <c:v>Public</c:v>
                </c:pt>
                <c:pt idx="1">
                  <c:v>Private for Profit</c:v>
                </c:pt>
                <c:pt idx="2">
                  <c:v>FBO</c:v>
                </c:pt>
                <c:pt idx="3">
                  <c:v>Total Benefits</c:v>
                </c:pt>
              </c:strCache>
            </c:strRef>
          </c:cat>
          <c:val>
            <c:numRef>
              <c:f>Sheet4!$B$3:$E$3</c:f>
              <c:numCache>
                <c:formatCode>0.0%</c:formatCode>
                <c:ptCount val="4"/>
                <c:pt idx="0">
                  <c:v>0.08</c:v>
                </c:pt>
                <c:pt idx="1">
                  <c:v>0.04</c:v>
                </c:pt>
                <c:pt idx="2">
                  <c:v>0.21</c:v>
                </c:pt>
                <c:pt idx="3">
                  <c:v>0.1125</c:v>
                </c:pt>
              </c:numCache>
            </c:numRef>
          </c:val>
        </c:ser>
        <c:ser>
          <c:idx val="1"/>
          <c:order val="1"/>
          <c:tx>
            <c:strRef>
              <c:f>Sheet4!$A$4</c:f>
              <c:strCache>
                <c:ptCount val="1"/>
                <c:pt idx="0">
                  <c:v>Quintile 2- Second Poorest 20%</c:v>
                </c:pt>
              </c:strCache>
            </c:strRef>
          </c:tx>
          <c:spPr>
            <a:pattFill prst="smGrid">
              <a:fgClr>
                <a:schemeClr val="tx1"/>
              </a:fgClr>
              <a:bgClr>
                <a:prstClr val="white"/>
              </a:bgClr>
            </a:pattFill>
          </c:spPr>
          <c:invertIfNegative val="0"/>
          <c:cat>
            <c:strRef>
              <c:f>Sheet4!$B$2:$E$2</c:f>
              <c:strCache>
                <c:ptCount val="4"/>
                <c:pt idx="0">
                  <c:v>Public</c:v>
                </c:pt>
                <c:pt idx="1">
                  <c:v>Private for Profit</c:v>
                </c:pt>
                <c:pt idx="2">
                  <c:v>FBO</c:v>
                </c:pt>
                <c:pt idx="3">
                  <c:v>Total Benefits</c:v>
                </c:pt>
              </c:strCache>
            </c:strRef>
          </c:cat>
          <c:val>
            <c:numRef>
              <c:f>Sheet4!$B$4:$E$4</c:f>
              <c:numCache>
                <c:formatCode>0.0%</c:formatCode>
                <c:ptCount val="4"/>
                <c:pt idx="0">
                  <c:v>0.325</c:v>
                </c:pt>
                <c:pt idx="1">
                  <c:v>0.07</c:v>
                </c:pt>
                <c:pt idx="2">
                  <c:v>0.19</c:v>
                </c:pt>
                <c:pt idx="3">
                  <c:v>0.235</c:v>
                </c:pt>
              </c:numCache>
            </c:numRef>
          </c:val>
        </c:ser>
        <c:ser>
          <c:idx val="2"/>
          <c:order val="2"/>
          <c:tx>
            <c:strRef>
              <c:f>Sheet4!$A$5</c:f>
              <c:strCache>
                <c:ptCount val="1"/>
                <c:pt idx="0">
                  <c:v>Quintile 3- Middle</c:v>
                </c:pt>
              </c:strCache>
            </c:strRef>
          </c:tx>
          <c:spPr>
            <a:pattFill prst="dashDnDiag">
              <a:fgClr>
                <a:schemeClr val="tx1"/>
              </a:fgClr>
              <a:bgClr>
                <a:prstClr val="white"/>
              </a:bgClr>
            </a:pattFill>
          </c:spPr>
          <c:invertIfNegative val="0"/>
          <c:cat>
            <c:strRef>
              <c:f>Sheet4!$B$2:$E$2</c:f>
              <c:strCache>
                <c:ptCount val="4"/>
                <c:pt idx="0">
                  <c:v>Public</c:v>
                </c:pt>
                <c:pt idx="1">
                  <c:v>Private for Profit</c:v>
                </c:pt>
                <c:pt idx="2">
                  <c:v>FBO</c:v>
                </c:pt>
                <c:pt idx="3">
                  <c:v>Total Benefits</c:v>
                </c:pt>
              </c:strCache>
            </c:strRef>
          </c:cat>
          <c:val>
            <c:numRef>
              <c:f>Sheet4!$B$5:$E$5</c:f>
              <c:numCache>
                <c:formatCode>0.0%</c:formatCode>
                <c:ptCount val="4"/>
                <c:pt idx="0">
                  <c:v>0.25</c:v>
                </c:pt>
                <c:pt idx="1">
                  <c:v>0.19</c:v>
                </c:pt>
                <c:pt idx="2">
                  <c:v>0.185</c:v>
                </c:pt>
                <c:pt idx="3">
                  <c:v>0.22</c:v>
                </c:pt>
              </c:numCache>
            </c:numRef>
          </c:val>
        </c:ser>
        <c:ser>
          <c:idx val="3"/>
          <c:order val="3"/>
          <c:tx>
            <c:strRef>
              <c:f>Sheet4!$A$6</c:f>
              <c:strCache>
                <c:ptCount val="1"/>
                <c:pt idx="0">
                  <c:v>Quintile 4- Second Richest 20%</c:v>
                </c:pt>
              </c:strCache>
            </c:strRef>
          </c:tx>
          <c:spPr>
            <a:pattFill prst="zigZag">
              <a:fgClr>
                <a:schemeClr val="tx1"/>
              </a:fgClr>
              <a:bgClr>
                <a:prstClr val="white"/>
              </a:bgClr>
            </a:pattFill>
          </c:spPr>
          <c:invertIfNegative val="0"/>
          <c:cat>
            <c:strRef>
              <c:f>Sheet4!$B$2:$E$2</c:f>
              <c:strCache>
                <c:ptCount val="4"/>
                <c:pt idx="0">
                  <c:v>Public</c:v>
                </c:pt>
                <c:pt idx="1">
                  <c:v>Private for Profit</c:v>
                </c:pt>
                <c:pt idx="2">
                  <c:v>FBO</c:v>
                </c:pt>
                <c:pt idx="3">
                  <c:v>Total Benefits</c:v>
                </c:pt>
              </c:strCache>
            </c:strRef>
          </c:cat>
          <c:val>
            <c:numRef>
              <c:f>Sheet4!$B$6:$E$6</c:f>
              <c:numCache>
                <c:formatCode>0.0%</c:formatCode>
                <c:ptCount val="4"/>
                <c:pt idx="0">
                  <c:v>0.155</c:v>
                </c:pt>
                <c:pt idx="1">
                  <c:v>0.21</c:v>
                </c:pt>
                <c:pt idx="2">
                  <c:v>0.25</c:v>
                </c:pt>
                <c:pt idx="3">
                  <c:v>0.2</c:v>
                </c:pt>
              </c:numCache>
            </c:numRef>
          </c:val>
        </c:ser>
        <c:ser>
          <c:idx val="4"/>
          <c:order val="4"/>
          <c:tx>
            <c:strRef>
              <c:f>Sheet4!$A$7</c:f>
              <c:strCache>
                <c:ptCount val="1"/>
                <c:pt idx="0">
                  <c:v>Quintile 5- Richest 20%</c:v>
                </c:pt>
              </c:strCache>
            </c:strRef>
          </c:tx>
          <c:spPr>
            <a:pattFill prst="pct90">
              <a:fgClr>
                <a:schemeClr val="tx1"/>
              </a:fgClr>
              <a:bgClr>
                <a:prstClr val="white"/>
              </a:bgClr>
            </a:pattFill>
          </c:spPr>
          <c:invertIfNegative val="0"/>
          <c:cat>
            <c:strRef>
              <c:f>Sheet4!$B$2:$E$2</c:f>
              <c:strCache>
                <c:ptCount val="4"/>
                <c:pt idx="0">
                  <c:v>Public</c:v>
                </c:pt>
                <c:pt idx="1">
                  <c:v>Private for Profit</c:v>
                </c:pt>
                <c:pt idx="2">
                  <c:v>FBO</c:v>
                </c:pt>
                <c:pt idx="3">
                  <c:v>Total Benefits</c:v>
                </c:pt>
              </c:strCache>
            </c:strRef>
          </c:cat>
          <c:val>
            <c:numRef>
              <c:f>Sheet4!$B$7:$E$7</c:f>
              <c:numCache>
                <c:formatCode>0.0%</c:formatCode>
                <c:ptCount val="4"/>
                <c:pt idx="0">
                  <c:v>0.17</c:v>
                </c:pt>
                <c:pt idx="1">
                  <c:v>0.48</c:v>
                </c:pt>
                <c:pt idx="2">
                  <c:v>0.1575</c:v>
                </c:pt>
                <c:pt idx="3">
                  <c:v>0.2225</c:v>
                </c:pt>
              </c:numCache>
            </c:numRef>
          </c:val>
        </c:ser>
        <c:dLbls>
          <c:showLegendKey val="0"/>
          <c:showVal val="0"/>
          <c:showCatName val="0"/>
          <c:showSerName val="0"/>
          <c:showPercent val="0"/>
          <c:showBubbleSize val="0"/>
        </c:dLbls>
        <c:gapWidth val="75"/>
        <c:axId val="649201816"/>
        <c:axId val="649204952"/>
      </c:barChart>
      <c:catAx>
        <c:axId val="649201816"/>
        <c:scaling>
          <c:orientation val="minMax"/>
        </c:scaling>
        <c:delete val="0"/>
        <c:axPos val="b"/>
        <c:majorTickMark val="none"/>
        <c:minorTickMark val="none"/>
        <c:tickLblPos val="nextTo"/>
        <c:txPr>
          <a:bodyPr/>
          <a:lstStyle/>
          <a:p>
            <a:pPr>
              <a:defRPr>
                <a:latin typeface="Times New Roman"/>
                <a:cs typeface="Times New Roman"/>
              </a:defRPr>
            </a:pPr>
            <a:endParaRPr lang="en-US"/>
          </a:p>
        </c:txPr>
        <c:crossAx val="649204952"/>
        <c:crosses val="autoZero"/>
        <c:auto val="1"/>
        <c:lblAlgn val="ctr"/>
        <c:lblOffset val="100"/>
        <c:noMultiLvlLbl val="0"/>
      </c:catAx>
      <c:valAx>
        <c:axId val="649204952"/>
        <c:scaling>
          <c:orientation val="minMax"/>
          <c:max val="0.5"/>
        </c:scaling>
        <c:delete val="0"/>
        <c:axPos val="l"/>
        <c:majorGridlines/>
        <c:numFmt formatCode="0%" sourceLinked="0"/>
        <c:majorTickMark val="none"/>
        <c:minorTickMark val="none"/>
        <c:tickLblPos val="nextTo"/>
        <c:crossAx val="649201816"/>
        <c:crosses val="autoZero"/>
        <c:crossBetween val="between"/>
      </c:valAx>
    </c:plotArea>
    <c:legend>
      <c:legendPos val="b"/>
      <c:layout>
        <c:manualLayout>
          <c:xMode val="edge"/>
          <c:yMode val="edge"/>
          <c:x val="0.0252758630084734"/>
          <c:y val="0.858494832150264"/>
          <c:w val="0.963014418961624"/>
          <c:h val="0.124374546864725"/>
        </c:manualLayout>
      </c:layout>
      <c:overlay val="0"/>
      <c:txPr>
        <a:bodyPr/>
        <a:lstStyle/>
        <a:p>
          <a:pPr algn="l">
            <a:defRPr sz="1000">
              <a:latin typeface="Times New Roman"/>
              <a:cs typeface="Times New Roman"/>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latin typeface="Times New Roman"/>
                <a:cs typeface="Times New Roman"/>
              </a:rPr>
              <a:t>Life Expectancy and Mortality Rates</a:t>
            </a:r>
            <a:r>
              <a:rPr lang="en-US" sz="1400" baseline="0">
                <a:latin typeface="Times New Roman"/>
                <a:cs typeface="Times New Roman"/>
              </a:rPr>
              <a:t> in Tanzania</a:t>
            </a:r>
            <a:endParaRPr lang="en-US" sz="1400">
              <a:latin typeface="Times New Roman"/>
              <a:cs typeface="Times New Roman"/>
            </a:endParaRPr>
          </a:p>
        </c:rich>
      </c:tx>
      <c:layout/>
      <c:overlay val="0"/>
    </c:title>
    <c:autoTitleDeleted val="0"/>
    <c:plotArea>
      <c:layout>
        <c:manualLayout>
          <c:layoutTarget val="inner"/>
          <c:xMode val="edge"/>
          <c:yMode val="edge"/>
          <c:x val="0.105142755285511"/>
          <c:y val="0.19775109046621"/>
          <c:w val="0.763989397978796"/>
          <c:h val="0.663121962272701"/>
        </c:manualLayout>
      </c:layout>
      <c:lineChart>
        <c:grouping val="standard"/>
        <c:varyColors val="0"/>
        <c:ser>
          <c:idx val="0"/>
          <c:order val="0"/>
          <c:tx>
            <c:v>Life Expectancy at Birth</c:v>
          </c:tx>
          <c:spPr>
            <a:ln w="38100" cmpd="sng">
              <a:solidFill>
                <a:schemeClr val="tx1"/>
              </a:solidFill>
            </a:ln>
          </c:spPr>
          <c:marker>
            <c:symbol val="none"/>
          </c:marker>
          <c:trendline>
            <c:trendlineType val="linear"/>
            <c:dispRSqr val="0"/>
            <c:dispEq val="0"/>
          </c:trendline>
          <c:cat>
            <c:numRef>
              <c:f>Mortality!$A$2:$A$44</c:f>
              <c:numCache>
                <c:formatCode>General</c:formatCode>
                <c:ptCount val="43"/>
                <c:pt idx="0">
                  <c:v>1967.0</c:v>
                </c:pt>
                <c:pt idx="5">
                  <c:v>1972.0</c:v>
                </c:pt>
                <c:pt idx="10">
                  <c:v>1977.0</c:v>
                </c:pt>
                <c:pt idx="15">
                  <c:v>1982.0</c:v>
                </c:pt>
                <c:pt idx="20">
                  <c:v>1987.0</c:v>
                </c:pt>
                <c:pt idx="25">
                  <c:v>1992.0</c:v>
                </c:pt>
                <c:pt idx="30">
                  <c:v>1997.0</c:v>
                </c:pt>
                <c:pt idx="35">
                  <c:v>2002.0</c:v>
                </c:pt>
                <c:pt idx="40">
                  <c:v>2007.0</c:v>
                </c:pt>
              </c:numCache>
            </c:numRef>
          </c:cat>
          <c:val>
            <c:numRef>
              <c:f>Mortality!$B$2:$B$44</c:f>
              <c:numCache>
                <c:formatCode>General</c:formatCode>
                <c:ptCount val="43"/>
                <c:pt idx="0">
                  <c:v>45.62</c:v>
                </c:pt>
                <c:pt idx="1">
                  <c:v>45.96</c:v>
                </c:pt>
                <c:pt idx="2">
                  <c:v>46.31</c:v>
                </c:pt>
                <c:pt idx="3">
                  <c:v>46.68</c:v>
                </c:pt>
                <c:pt idx="4">
                  <c:v>47.08</c:v>
                </c:pt>
                <c:pt idx="5">
                  <c:v>47.5</c:v>
                </c:pt>
                <c:pt idx="6">
                  <c:v>47.95</c:v>
                </c:pt>
                <c:pt idx="7">
                  <c:v>48.39</c:v>
                </c:pt>
                <c:pt idx="8">
                  <c:v>48.84</c:v>
                </c:pt>
                <c:pt idx="9">
                  <c:v>49.25</c:v>
                </c:pt>
                <c:pt idx="10">
                  <c:v>49.63</c:v>
                </c:pt>
                <c:pt idx="11">
                  <c:v>49.95</c:v>
                </c:pt>
                <c:pt idx="12">
                  <c:v>50.23</c:v>
                </c:pt>
                <c:pt idx="13">
                  <c:v>50.45</c:v>
                </c:pt>
                <c:pt idx="14">
                  <c:v>50.64</c:v>
                </c:pt>
                <c:pt idx="15">
                  <c:v>50.8</c:v>
                </c:pt>
                <c:pt idx="16">
                  <c:v>50.95</c:v>
                </c:pt>
                <c:pt idx="17">
                  <c:v>51.08</c:v>
                </c:pt>
                <c:pt idx="18">
                  <c:v>51.17</c:v>
                </c:pt>
                <c:pt idx="19">
                  <c:v>51.2</c:v>
                </c:pt>
                <c:pt idx="20">
                  <c:v>51.15</c:v>
                </c:pt>
                <c:pt idx="21">
                  <c:v>51.03</c:v>
                </c:pt>
                <c:pt idx="22">
                  <c:v>50.84</c:v>
                </c:pt>
                <c:pt idx="23">
                  <c:v>50.6</c:v>
                </c:pt>
                <c:pt idx="24">
                  <c:v>50.33</c:v>
                </c:pt>
                <c:pt idx="25">
                  <c:v>50.06</c:v>
                </c:pt>
                <c:pt idx="26">
                  <c:v>49.84</c:v>
                </c:pt>
                <c:pt idx="27">
                  <c:v>49.67</c:v>
                </c:pt>
                <c:pt idx="28">
                  <c:v>49.57</c:v>
                </c:pt>
                <c:pt idx="29">
                  <c:v>49.57</c:v>
                </c:pt>
                <c:pt idx="30">
                  <c:v>49.64</c:v>
                </c:pt>
                <c:pt idx="31">
                  <c:v>49.8</c:v>
                </c:pt>
                <c:pt idx="32">
                  <c:v>50.04</c:v>
                </c:pt>
                <c:pt idx="33">
                  <c:v>50.37</c:v>
                </c:pt>
                <c:pt idx="34">
                  <c:v>50.8</c:v>
                </c:pt>
                <c:pt idx="35">
                  <c:v>51.33</c:v>
                </c:pt>
                <c:pt idx="36">
                  <c:v>51.94</c:v>
                </c:pt>
                <c:pt idx="37">
                  <c:v>52.61</c:v>
                </c:pt>
                <c:pt idx="38">
                  <c:v>53.35</c:v>
                </c:pt>
                <c:pt idx="39">
                  <c:v>54.13</c:v>
                </c:pt>
                <c:pt idx="40">
                  <c:v>54.94</c:v>
                </c:pt>
                <c:pt idx="41">
                  <c:v>55.77</c:v>
                </c:pt>
                <c:pt idx="42">
                  <c:v>56.59</c:v>
                </c:pt>
              </c:numCache>
            </c:numRef>
          </c:val>
          <c:smooth val="0"/>
        </c:ser>
        <c:dLbls>
          <c:showLegendKey val="0"/>
          <c:showVal val="0"/>
          <c:showCatName val="0"/>
          <c:showSerName val="0"/>
          <c:showPercent val="0"/>
          <c:showBubbleSize val="0"/>
        </c:dLbls>
        <c:marker val="1"/>
        <c:smooth val="0"/>
        <c:axId val="649246536"/>
        <c:axId val="649252008"/>
      </c:lineChart>
      <c:lineChart>
        <c:grouping val="standard"/>
        <c:varyColors val="0"/>
        <c:ser>
          <c:idx val="1"/>
          <c:order val="1"/>
          <c:tx>
            <c:v>Infant Mortality Rate</c:v>
          </c:tx>
          <c:spPr>
            <a:ln w="38100" cmpd="sng">
              <a:solidFill>
                <a:schemeClr val="tx1"/>
              </a:solidFill>
              <a:prstDash val="sysDot"/>
            </a:ln>
          </c:spPr>
          <c:marker>
            <c:symbol val="diamond"/>
            <c:size val="5"/>
            <c:spPr>
              <a:solidFill>
                <a:schemeClr val="tx1"/>
              </a:solidFill>
              <a:ln w="6350" cmpd="sng">
                <a:solidFill>
                  <a:schemeClr val="tx1"/>
                </a:solidFill>
                <a:prstDash val="sysDash"/>
              </a:ln>
            </c:spPr>
          </c:marker>
          <c:trendline>
            <c:trendlineType val="linear"/>
            <c:dispRSqr val="0"/>
            <c:dispEq val="0"/>
          </c:trendline>
          <c:cat>
            <c:numRef>
              <c:f>Mortality!$A$2:$A$44</c:f>
              <c:numCache>
                <c:formatCode>General</c:formatCode>
                <c:ptCount val="43"/>
                <c:pt idx="0">
                  <c:v>1967.0</c:v>
                </c:pt>
                <c:pt idx="5">
                  <c:v>1972.0</c:v>
                </c:pt>
                <c:pt idx="10">
                  <c:v>1977.0</c:v>
                </c:pt>
                <c:pt idx="15">
                  <c:v>1982.0</c:v>
                </c:pt>
                <c:pt idx="20">
                  <c:v>1987.0</c:v>
                </c:pt>
                <c:pt idx="25">
                  <c:v>1992.0</c:v>
                </c:pt>
                <c:pt idx="30">
                  <c:v>1997.0</c:v>
                </c:pt>
                <c:pt idx="35">
                  <c:v>2002.0</c:v>
                </c:pt>
                <c:pt idx="40">
                  <c:v>2007.0</c:v>
                </c:pt>
              </c:numCache>
            </c:numRef>
          </c:cat>
          <c:val>
            <c:numRef>
              <c:f>Mortality!$D$2:$D$44</c:f>
              <c:numCache>
                <c:formatCode>General</c:formatCode>
                <c:ptCount val="43"/>
                <c:pt idx="0">
                  <c:v>129.1</c:v>
                </c:pt>
                <c:pt idx="1">
                  <c:v>127.1</c:v>
                </c:pt>
                <c:pt idx="2">
                  <c:v>125.3</c:v>
                </c:pt>
                <c:pt idx="3">
                  <c:v>123.3</c:v>
                </c:pt>
                <c:pt idx="4">
                  <c:v>121.1</c:v>
                </c:pt>
                <c:pt idx="5">
                  <c:v>118.9</c:v>
                </c:pt>
                <c:pt idx="6">
                  <c:v>116.5</c:v>
                </c:pt>
                <c:pt idx="7">
                  <c:v>114.0</c:v>
                </c:pt>
                <c:pt idx="8">
                  <c:v>111.6</c:v>
                </c:pt>
                <c:pt idx="9">
                  <c:v>109.4</c:v>
                </c:pt>
                <c:pt idx="10">
                  <c:v>107.2</c:v>
                </c:pt>
                <c:pt idx="11">
                  <c:v>105.3</c:v>
                </c:pt>
                <c:pt idx="12">
                  <c:v>103.5</c:v>
                </c:pt>
                <c:pt idx="13">
                  <c:v>102.0</c:v>
                </c:pt>
                <c:pt idx="14">
                  <c:v>100.7</c:v>
                </c:pt>
                <c:pt idx="15">
                  <c:v>100.1</c:v>
                </c:pt>
                <c:pt idx="16">
                  <c:v>99.8</c:v>
                </c:pt>
                <c:pt idx="17">
                  <c:v>99.7</c:v>
                </c:pt>
                <c:pt idx="18">
                  <c:v>99.3</c:v>
                </c:pt>
                <c:pt idx="19">
                  <c:v>98.8</c:v>
                </c:pt>
                <c:pt idx="20">
                  <c:v>97.6</c:v>
                </c:pt>
                <c:pt idx="21">
                  <c:v>96.6</c:v>
                </c:pt>
                <c:pt idx="22">
                  <c:v>95.6</c:v>
                </c:pt>
                <c:pt idx="23">
                  <c:v>95.2</c:v>
                </c:pt>
                <c:pt idx="24">
                  <c:v>95.0</c:v>
                </c:pt>
                <c:pt idx="25">
                  <c:v>94.9</c:v>
                </c:pt>
                <c:pt idx="26">
                  <c:v>94.9</c:v>
                </c:pt>
                <c:pt idx="27">
                  <c:v>94.9</c:v>
                </c:pt>
                <c:pt idx="28">
                  <c:v>94.4</c:v>
                </c:pt>
                <c:pt idx="29">
                  <c:v>92.7</c:v>
                </c:pt>
                <c:pt idx="30">
                  <c:v>90.2</c:v>
                </c:pt>
                <c:pt idx="31">
                  <c:v>86.8</c:v>
                </c:pt>
                <c:pt idx="32">
                  <c:v>83.7</c:v>
                </c:pt>
                <c:pt idx="33">
                  <c:v>80.5</c:v>
                </c:pt>
                <c:pt idx="34">
                  <c:v>77.2</c:v>
                </c:pt>
                <c:pt idx="35">
                  <c:v>74.1</c:v>
                </c:pt>
                <c:pt idx="36">
                  <c:v>71.1</c:v>
                </c:pt>
                <c:pt idx="37">
                  <c:v>68.1</c:v>
                </c:pt>
                <c:pt idx="38">
                  <c:v>65.0</c:v>
                </c:pt>
                <c:pt idx="39">
                  <c:v>62.0</c:v>
                </c:pt>
                <c:pt idx="40">
                  <c:v>58.6</c:v>
                </c:pt>
                <c:pt idx="41">
                  <c:v>54.8</c:v>
                </c:pt>
                <c:pt idx="42">
                  <c:v>52.5</c:v>
                </c:pt>
              </c:numCache>
            </c:numRef>
          </c:val>
          <c:smooth val="0"/>
        </c:ser>
        <c:dLbls>
          <c:showLegendKey val="0"/>
          <c:showVal val="0"/>
          <c:showCatName val="0"/>
          <c:showSerName val="0"/>
          <c:showPercent val="0"/>
          <c:showBubbleSize val="0"/>
        </c:dLbls>
        <c:marker val="1"/>
        <c:smooth val="0"/>
        <c:axId val="649263736"/>
        <c:axId val="649257784"/>
      </c:lineChart>
      <c:catAx>
        <c:axId val="649246536"/>
        <c:scaling>
          <c:orientation val="minMax"/>
        </c:scaling>
        <c:delete val="0"/>
        <c:axPos val="b"/>
        <c:title>
          <c:tx>
            <c:rich>
              <a:bodyPr/>
              <a:lstStyle/>
              <a:p>
                <a:pPr>
                  <a:defRPr>
                    <a:latin typeface="Times New Roman"/>
                    <a:cs typeface="Times New Roman"/>
                  </a:defRPr>
                </a:pPr>
                <a:r>
                  <a:rPr lang="en-US">
                    <a:latin typeface="Times New Roman"/>
                    <a:cs typeface="Times New Roman"/>
                  </a:rPr>
                  <a:t>Year</a:t>
                </a:r>
              </a:p>
            </c:rich>
          </c:tx>
          <c:layout/>
          <c:overlay val="0"/>
        </c:title>
        <c:numFmt formatCode="General" sourceLinked="1"/>
        <c:majorTickMark val="out"/>
        <c:minorTickMark val="none"/>
        <c:tickLblPos val="nextTo"/>
        <c:crossAx val="649252008"/>
        <c:crosses val="autoZero"/>
        <c:auto val="1"/>
        <c:lblAlgn val="ctr"/>
        <c:lblOffset val="100"/>
        <c:noMultiLvlLbl val="0"/>
      </c:catAx>
      <c:valAx>
        <c:axId val="649252008"/>
        <c:scaling>
          <c:orientation val="minMax"/>
        </c:scaling>
        <c:delete val="0"/>
        <c:axPos val="l"/>
        <c:majorGridlines/>
        <c:title>
          <c:tx>
            <c:rich>
              <a:bodyPr rot="-5400000" vert="horz"/>
              <a:lstStyle/>
              <a:p>
                <a:pPr>
                  <a:defRPr>
                    <a:latin typeface="Times New Roman"/>
                    <a:cs typeface="Times New Roman"/>
                  </a:defRPr>
                </a:pPr>
                <a:r>
                  <a:rPr lang="en-US">
                    <a:latin typeface="Times New Roman"/>
                    <a:cs typeface="Times New Roman"/>
                  </a:rPr>
                  <a:t>Life Expectancy</a:t>
                </a:r>
                <a:r>
                  <a:rPr lang="en-US" baseline="0">
                    <a:latin typeface="Times New Roman"/>
                    <a:cs typeface="Times New Roman"/>
                  </a:rPr>
                  <a:t> at Birth</a:t>
                </a:r>
                <a:br>
                  <a:rPr lang="en-US" baseline="0">
                    <a:latin typeface="Times New Roman"/>
                    <a:cs typeface="Times New Roman"/>
                  </a:rPr>
                </a:br>
                <a:r>
                  <a:rPr lang="en-US" baseline="0">
                    <a:latin typeface="Times New Roman"/>
                    <a:cs typeface="Times New Roman"/>
                  </a:rPr>
                  <a:t>(in years)</a:t>
                </a:r>
              </a:p>
            </c:rich>
          </c:tx>
          <c:layout>
            <c:manualLayout>
              <c:xMode val="edge"/>
              <c:yMode val="edge"/>
              <c:x val="0.00393700787401575"/>
              <c:y val="0.369050473007421"/>
            </c:manualLayout>
          </c:layout>
          <c:overlay val="0"/>
        </c:title>
        <c:numFmt formatCode="General" sourceLinked="1"/>
        <c:majorTickMark val="out"/>
        <c:minorTickMark val="none"/>
        <c:tickLblPos val="nextTo"/>
        <c:crossAx val="649246536"/>
        <c:crosses val="autoZero"/>
        <c:crossBetween val="between"/>
      </c:valAx>
      <c:valAx>
        <c:axId val="649257784"/>
        <c:scaling>
          <c:orientation val="minMax"/>
        </c:scaling>
        <c:delete val="0"/>
        <c:axPos val="r"/>
        <c:title>
          <c:tx>
            <c:rich>
              <a:bodyPr rot="-5400000" vert="horz"/>
              <a:lstStyle/>
              <a:p>
                <a:pPr>
                  <a:defRPr>
                    <a:latin typeface="Times New Roman"/>
                    <a:cs typeface="Times New Roman"/>
                  </a:defRPr>
                </a:pPr>
                <a:r>
                  <a:rPr lang="en-US">
                    <a:latin typeface="Times New Roman"/>
                    <a:cs typeface="Times New Roman"/>
                  </a:rPr>
                  <a:t>Infant</a:t>
                </a:r>
                <a:r>
                  <a:rPr lang="en-US" baseline="0">
                    <a:latin typeface="Times New Roman"/>
                    <a:cs typeface="Times New Roman"/>
                  </a:rPr>
                  <a:t> Mortality Rate </a:t>
                </a:r>
              </a:p>
              <a:p>
                <a:pPr>
                  <a:defRPr>
                    <a:latin typeface="Times New Roman"/>
                    <a:cs typeface="Times New Roman"/>
                  </a:defRPr>
                </a:pPr>
                <a:r>
                  <a:rPr lang="en-US" baseline="0">
                    <a:latin typeface="Times New Roman"/>
                    <a:cs typeface="Times New Roman"/>
                  </a:rPr>
                  <a:t>(per 1,000 live births)</a:t>
                </a:r>
                <a:endParaRPr lang="en-US">
                  <a:latin typeface="Times New Roman"/>
                  <a:cs typeface="Times New Roman"/>
                </a:endParaRPr>
              </a:p>
            </c:rich>
          </c:tx>
          <c:layout/>
          <c:overlay val="0"/>
        </c:title>
        <c:numFmt formatCode="General" sourceLinked="1"/>
        <c:majorTickMark val="out"/>
        <c:minorTickMark val="none"/>
        <c:tickLblPos val="nextTo"/>
        <c:crossAx val="649263736"/>
        <c:crosses val="max"/>
        <c:crossBetween val="between"/>
      </c:valAx>
      <c:catAx>
        <c:axId val="649263736"/>
        <c:scaling>
          <c:orientation val="minMax"/>
        </c:scaling>
        <c:delete val="1"/>
        <c:axPos val="b"/>
        <c:numFmt formatCode="General" sourceLinked="1"/>
        <c:majorTickMark val="out"/>
        <c:minorTickMark val="none"/>
        <c:tickLblPos val="nextTo"/>
        <c:crossAx val="649257784"/>
        <c:crosses val="autoZero"/>
        <c:auto val="1"/>
        <c:lblAlgn val="ctr"/>
        <c:lblOffset val="100"/>
        <c:noMultiLvlLbl val="0"/>
      </c:catAx>
    </c:plotArea>
    <c:legend>
      <c:legendPos val="t"/>
      <c:layout>
        <c:manualLayout>
          <c:xMode val="edge"/>
          <c:yMode val="edge"/>
          <c:x val="0.189324353648707"/>
          <c:y val="0.103021356143432"/>
          <c:w val="0.621351292702585"/>
          <c:h val="0.071708151588965"/>
        </c:manualLayout>
      </c:layout>
      <c:overlay val="0"/>
      <c:txPr>
        <a:bodyPr/>
        <a:lstStyle/>
        <a:p>
          <a:pPr>
            <a:defRPr>
              <a:latin typeface="Times New Roman"/>
              <a:cs typeface="Times New Roman"/>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400">
                <a:latin typeface="Times New Roman"/>
                <a:cs typeface="Times New Roman"/>
              </a:defRPr>
            </a:pPr>
            <a:r>
              <a:rPr lang="en-US" sz="1400">
                <a:latin typeface="Times New Roman"/>
                <a:cs typeface="Times New Roman"/>
              </a:rPr>
              <a:t>HIV Prevalence (% ages 15-49)</a:t>
            </a:r>
          </a:p>
        </c:rich>
      </c:tx>
      <c:layout/>
      <c:overlay val="0"/>
    </c:title>
    <c:autoTitleDeleted val="0"/>
    <c:plotArea>
      <c:layout/>
      <c:lineChart>
        <c:grouping val="standard"/>
        <c:varyColors val="0"/>
        <c:ser>
          <c:idx val="0"/>
          <c:order val="0"/>
          <c:tx>
            <c:v>HIV Prevalence (%)</c:v>
          </c:tx>
          <c:trendline>
            <c:trendlineType val="linear"/>
            <c:dispRSqr val="0"/>
            <c:dispEq val="0"/>
          </c:trendline>
          <c:cat>
            <c:numRef>
              <c:f>HIV!$A$2:$A$21</c:f>
              <c:numCache>
                <c:formatCode>General</c:formatCode>
                <c:ptCount val="20"/>
                <c:pt idx="0">
                  <c:v>1990.0</c:v>
                </c:pt>
                <c:pt idx="5">
                  <c:v>1995.0</c:v>
                </c:pt>
                <c:pt idx="10">
                  <c:v>2000.0</c:v>
                </c:pt>
                <c:pt idx="15">
                  <c:v>2005.0</c:v>
                </c:pt>
                <c:pt idx="19">
                  <c:v>2009.0</c:v>
                </c:pt>
              </c:numCache>
            </c:numRef>
          </c:cat>
          <c:val>
            <c:numRef>
              <c:f>HIV!$B$2:$B$21</c:f>
              <c:numCache>
                <c:formatCode>General</c:formatCode>
                <c:ptCount val="20"/>
                <c:pt idx="0">
                  <c:v>4.8</c:v>
                </c:pt>
                <c:pt idx="1">
                  <c:v>5.7</c:v>
                </c:pt>
                <c:pt idx="2">
                  <c:v>6.5</c:v>
                </c:pt>
                <c:pt idx="3">
                  <c:v>7.1</c:v>
                </c:pt>
                <c:pt idx="4">
                  <c:v>7.6</c:v>
                </c:pt>
                <c:pt idx="5">
                  <c:v>7.8</c:v>
                </c:pt>
                <c:pt idx="6">
                  <c:v>7.9</c:v>
                </c:pt>
                <c:pt idx="7">
                  <c:v>7.9</c:v>
                </c:pt>
                <c:pt idx="8">
                  <c:v>7.7</c:v>
                </c:pt>
                <c:pt idx="9">
                  <c:v>7.5</c:v>
                </c:pt>
                <c:pt idx="10">
                  <c:v>7.3</c:v>
                </c:pt>
                <c:pt idx="11">
                  <c:v>7.1</c:v>
                </c:pt>
                <c:pt idx="12">
                  <c:v>6.8</c:v>
                </c:pt>
                <c:pt idx="13">
                  <c:v>6.6</c:v>
                </c:pt>
                <c:pt idx="14">
                  <c:v>6.4</c:v>
                </c:pt>
                <c:pt idx="15">
                  <c:v>6.2</c:v>
                </c:pt>
                <c:pt idx="16">
                  <c:v>6.0</c:v>
                </c:pt>
                <c:pt idx="17">
                  <c:v>5.9</c:v>
                </c:pt>
                <c:pt idx="18">
                  <c:v>5.8</c:v>
                </c:pt>
                <c:pt idx="19">
                  <c:v>5.6</c:v>
                </c:pt>
              </c:numCache>
            </c:numRef>
          </c:val>
          <c:smooth val="0"/>
        </c:ser>
        <c:dLbls>
          <c:showLegendKey val="0"/>
          <c:showVal val="0"/>
          <c:showCatName val="0"/>
          <c:showSerName val="0"/>
          <c:showPercent val="0"/>
          <c:showBubbleSize val="0"/>
        </c:dLbls>
        <c:marker val="1"/>
        <c:smooth val="0"/>
        <c:axId val="649291304"/>
        <c:axId val="649296456"/>
      </c:lineChart>
      <c:catAx>
        <c:axId val="649291304"/>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649296456"/>
        <c:crosses val="autoZero"/>
        <c:auto val="1"/>
        <c:lblAlgn val="ctr"/>
        <c:lblOffset val="100"/>
        <c:noMultiLvlLbl val="0"/>
      </c:catAx>
      <c:valAx>
        <c:axId val="649296456"/>
        <c:scaling>
          <c:orientation val="minMax"/>
          <c:max val="10.0"/>
        </c:scaling>
        <c:delete val="0"/>
        <c:axPos val="l"/>
        <c:majorGridlines/>
        <c:title>
          <c:tx>
            <c:rich>
              <a:bodyPr rot="-5400000" vert="horz"/>
              <a:lstStyle/>
              <a:p>
                <a:pPr>
                  <a:defRPr/>
                </a:pPr>
                <a:r>
                  <a:rPr lang="en-US"/>
                  <a:t>Percent</a:t>
                </a:r>
                <a:r>
                  <a:rPr lang="en-US" baseline="0"/>
                  <a:t> (%)</a:t>
                </a:r>
                <a:endParaRPr lang="en-US"/>
              </a:p>
            </c:rich>
          </c:tx>
          <c:layout/>
          <c:overlay val="0"/>
        </c:title>
        <c:numFmt formatCode="General" sourceLinked="1"/>
        <c:majorTickMark val="out"/>
        <c:minorTickMark val="none"/>
        <c:tickLblPos val="nextTo"/>
        <c:crossAx val="6492913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400">
                <a:latin typeface="Times New Roman"/>
                <a:cs typeface="Times New Roman"/>
              </a:defRPr>
            </a:pPr>
            <a:r>
              <a:rPr lang="en-US" sz="1400">
                <a:latin typeface="Times New Roman"/>
                <a:cs typeface="Times New Roman"/>
              </a:rPr>
              <a:t>Women's Health in Tanzania</a:t>
            </a:r>
          </a:p>
        </c:rich>
      </c:tx>
      <c:layout/>
      <c:overlay val="0"/>
    </c:title>
    <c:autoTitleDeleted val="0"/>
    <c:plotArea>
      <c:layout>
        <c:manualLayout>
          <c:layoutTarget val="inner"/>
          <c:xMode val="edge"/>
          <c:yMode val="edge"/>
          <c:x val="0.102656036238713"/>
          <c:y val="0.278380277092229"/>
          <c:w val="0.872247438664761"/>
          <c:h val="0.561266110392917"/>
        </c:manualLayout>
      </c:layout>
      <c:lineChart>
        <c:grouping val="standard"/>
        <c:varyColors val="0"/>
        <c:ser>
          <c:idx val="0"/>
          <c:order val="0"/>
          <c:tx>
            <c:v>Contraceptive Prevalence (women ages 15-49)</c:v>
          </c:tx>
          <c:trendline>
            <c:trendlineType val="linear"/>
            <c:dispRSqr val="0"/>
            <c:dispEq val="0"/>
          </c:trendline>
          <c:cat>
            <c:numRef>
              <c:f>Maternal!$A$2:$A$21</c:f>
              <c:numCache>
                <c:formatCode>General</c:formatCode>
                <c:ptCount val="20"/>
                <c:pt idx="0">
                  <c:v>1991.0</c:v>
                </c:pt>
                <c:pt idx="4">
                  <c:v>1995.0</c:v>
                </c:pt>
                <c:pt idx="9">
                  <c:v>2000.0</c:v>
                </c:pt>
                <c:pt idx="14">
                  <c:v>2005.0</c:v>
                </c:pt>
                <c:pt idx="19">
                  <c:v>2010.0</c:v>
                </c:pt>
              </c:numCache>
            </c:numRef>
          </c:cat>
          <c:val>
            <c:numRef>
              <c:f>Maternal!$B$2:$B$21</c:f>
              <c:numCache>
                <c:formatCode>General</c:formatCode>
                <c:ptCount val="20"/>
                <c:pt idx="1">
                  <c:v>10.4</c:v>
                </c:pt>
                <c:pt idx="3">
                  <c:v>20.4</c:v>
                </c:pt>
                <c:pt idx="5">
                  <c:v>18.4</c:v>
                </c:pt>
                <c:pt idx="8">
                  <c:v>25.4</c:v>
                </c:pt>
                <c:pt idx="13">
                  <c:v>28.2</c:v>
                </c:pt>
                <c:pt idx="14">
                  <c:v>26.4</c:v>
                </c:pt>
                <c:pt idx="19">
                  <c:v>34.4</c:v>
                </c:pt>
              </c:numCache>
            </c:numRef>
          </c:val>
          <c:smooth val="0"/>
        </c:ser>
        <c:ser>
          <c:idx val="1"/>
          <c:order val="1"/>
          <c:tx>
            <c:v>Pregnant Who Received 1+ Antenatal Visit</c:v>
          </c:tx>
          <c:trendline>
            <c:trendlineType val="linear"/>
            <c:dispRSqr val="0"/>
            <c:dispEq val="0"/>
          </c:trendline>
          <c:cat>
            <c:numRef>
              <c:f>Maternal!$A$2:$A$21</c:f>
              <c:numCache>
                <c:formatCode>General</c:formatCode>
                <c:ptCount val="20"/>
                <c:pt idx="0">
                  <c:v>1991.0</c:v>
                </c:pt>
                <c:pt idx="4">
                  <c:v>1995.0</c:v>
                </c:pt>
                <c:pt idx="9">
                  <c:v>2000.0</c:v>
                </c:pt>
                <c:pt idx="14">
                  <c:v>2005.0</c:v>
                </c:pt>
                <c:pt idx="19">
                  <c:v>2010.0</c:v>
                </c:pt>
              </c:numCache>
            </c:numRef>
          </c:cat>
          <c:val>
            <c:numRef>
              <c:f>Maternal!$C$2:$C$21</c:f>
              <c:numCache>
                <c:formatCode>General</c:formatCode>
                <c:ptCount val="20"/>
                <c:pt idx="0">
                  <c:v>93.9</c:v>
                </c:pt>
                <c:pt idx="5">
                  <c:v>93.5</c:v>
                </c:pt>
                <c:pt idx="8">
                  <c:v>95.9</c:v>
                </c:pt>
                <c:pt idx="13">
                  <c:v>96.6</c:v>
                </c:pt>
              </c:numCache>
            </c:numRef>
          </c:val>
          <c:smooth val="0"/>
        </c:ser>
        <c:dLbls>
          <c:showLegendKey val="0"/>
          <c:showVal val="0"/>
          <c:showCatName val="0"/>
          <c:showSerName val="0"/>
          <c:showPercent val="0"/>
          <c:showBubbleSize val="0"/>
        </c:dLbls>
        <c:marker val="1"/>
        <c:smooth val="0"/>
        <c:axId val="649337288"/>
        <c:axId val="649342504"/>
      </c:lineChart>
      <c:catAx>
        <c:axId val="649337288"/>
        <c:scaling>
          <c:orientation val="minMax"/>
        </c:scaling>
        <c:delete val="0"/>
        <c:axPos val="b"/>
        <c:title>
          <c:tx>
            <c:rich>
              <a:bodyPr/>
              <a:lstStyle/>
              <a:p>
                <a:pPr>
                  <a:defRPr>
                    <a:latin typeface="Times New Roman"/>
                    <a:cs typeface="Times New Roman"/>
                  </a:defRPr>
                </a:pPr>
                <a:r>
                  <a:rPr lang="en-US">
                    <a:latin typeface="Times New Roman"/>
                    <a:cs typeface="Times New Roman"/>
                  </a:rPr>
                  <a:t>Year</a:t>
                </a:r>
              </a:p>
            </c:rich>
          </c:tx>
          <c:layout/>
          <c:overlay val="0"/>
        </c:title>
        <c:numFmt formatCode="General" sourceLinked="1"/>
        <c:majorTickMark val="out"/>
        <c:minorTickMark val="none"/>
        <c:tickLblPos val="nextTo"/>
        <c:crossAx val="649342504"/>
        <c:crosses val="autoZero"/>
        <c:auto val="1"/>
        <c:lblAlgn val="ctr"/>
        <c:lblOffset val="100"/>
        <c:noMultiLvlLbl val="0"/>
      </c:catAx>
      <c:valAx>
        <c:axId val="649342504"/>
        <c:scaling>
          <c:orientation val="minMax"/>
          <c:max val="100.0"/>
        </c:scaling>
        <c:delete val="0"/>
        <c:axPos val="l"/>
        <c:majorGridlines/>
        <c:title>
          <c:tx>
            <c:rich>
              <a:bodyPr rot="-5400000" vert="horz"/>
              <a:lstStyle/>
              <a:p>
                <a:pPr>
                  <a:defRPr>
                    <a:latin typeface="Times New Roman"/>
                    <a:cs typeface="Times New Roman"/>
                  </a:defRPr>
                </a:pPr>
                <a:r>
                  <a:rPr lang="en-US">
                    <a:latin typeface="Times New Roman"/>
                    <a:cs typeface="Times New Roman"/>
                  </a:rPr>
                  <a:t>Percent (%)</a:t>
                </a:r>
              </a:p>
            </c:rich>
          </c:tx>
          <c:layout/>
          <c:overlay val="0"/>
        </c:title>
        <c:numFmt formatCode="General" sourceLinked="1"/>
        <c:majorTickMark val="out"/>
        <c:minorTickMark val="none"/>
        <c:tickLblPos val="nextTo"/>
        <c:crossAx val="649337288"/>
        <c:crosses val="autoZero"/>
        <c:crossBetween val="between"/>
      </c:valAx>
    </c:plotArea>
    <c:legend>
      <c:legendPos val="t"/>
      <c:layout>
        <c:manualLayout>
          <c:xMode val="edge"/>
          <c:yMode val="edge"/>
          <c:x val="0.0676417375633142"/>
          <c:y val="0.134660033167496"/>
          <c:w val="0.88879985498013"/>
          <c:h val="0.094567730717293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&lt;&lt;&lt;&lt;ABSTRACT&gt;&gt;&gt;&gt;&gt;</Abstract>
  <CompanyAddress>Oregon State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Mte07</b:Tag>
    <b:SourceType>Report</b:SourceType>
    <b:Guid>{791A0559-64B1-5C4B-A464-49C435772461}</b:Guid>
    <b:Author>
      <b:Author>
        <b:NameList>
          <b:Person>
            <b:Last>Mtei</b:Last>
            <b:First>G.</b:First>
          </b:Person>
          <b:Person>
            <b:Last>Mulligan</b:Last>
            <b:First>J.</b:First>
          </b:Person>
          <b:Person>
            <b:Last>Ally</b:Last>
            <b:First>M.</b:First>
          </b:Person>
          <b:Person>
            <b:Last>Palmer</b:Last>
            <b:First>N.</b:First>
          </b:Person>
          <b:Person>
            <b:Last>Mills</b:Last>
            <b:First>A.</b:First>
          </b:Person>
        </b:NameList>
      </b:Author>
    </b:Author>
    <b:Title>An assessment of the health financing system in Tanzania</b:Title>
    <b:City>Cape Town</b:City>
    <b:Publisher>Report on SHIELD Work Package 1</b:Publisher>
    <b:Year>2007</b:Year>
    <b:RefOrder>22</b:RefOrder>
  </b:Source>
  <b:Source>
    <b:Tag>Hay11</b:Tag>
    <b:SourceType>Report</b:SourceType>
    <b:Guid>{4A043180-CE14-D746-8367-81BE9F47C1F7}</b:Guid>
    <b:Author>
      <b:Author>
        <b:Corporate>Haydom Lutheran Hospital</b:Corporate>
      </b:Author>
    </b:Author>
    <b:Title>Annual progress report 2010</b:Title>
    <b:Publisher>To the Royal Norwegian Embassy</b:Publisher>
    <b:City>Tanzania</b:City>
    <b:Year>2011</b:Year>
    <b:RefOrder>23</b:RefOrder>
  </b:Source>
  <b:Source>
    <b:Tag>Kow02</b:Tag>
    <b:SourceType>JournalArticle</b:SourceType>
    <b:Guid>{1C754F21-23F9-E342-9B29-29D138CBD9D0}</b:Guid>
    <b:Title>Can mothers afford matern health care costs? User costs of maternity services in rural Tanzania</b:Title>
    <b:Year>2002</b:Year>
    <b:Pages>65-73</b:Pages>
    <b:JournalName>African Journal of Reproductive Health</b:JournalName>
    <b:Volume>6</b:Volume>
    <b:Issue>1</b:Issue>
    <b:Author>
      <b:Author>
        <b:NameList>
          <b:Person>
            <b:Last>Kowalewski</b:Last>
            <b:First>M</b:First>
          </b:Person>
          <b:Person>
            <b:Last>Phare</b:Last>
            <b:First>M.</b:First>
          </b:Person>
          <b:Person>
            <b:Last>Albrecht</b:Last>
            <b:First>J.</b:First>
          </b:Person>
        </b:NameList>
      </b:Author>
    </b:Author>
    <b:RefOrder>24</b:RefOrder>
  </b:Source>
  <b:Source>
    <b:Tag>Lan08</b:Tag>
    <b:SourceType>Book</b:SourceType>
    <b:Guid>{BD6C10E5-8DDF-3A48-8C6E-B24F945DD1CC}</b:Guid>
    <b:Author>
      <b:Author>
        <b:NameList>
          <b:Person>
            <b:Last>Landau</b:Last>
            <b:First>L.B.</b:First>
          </b:Person>
        </b:NameList>
      </b:Author>
    </b:Author>
    <b:Title>The humanitarian hangover: displacement, aid and transformation in Western Tanzania</b:Title>
    <b:Publisher>Witwatersrand University Press</b:Publisher>
    <b:City>Johannesburg</b:City>
    <b:Year>2008</b:Year>
    <b:RefOrder>25</b:RefOrder>
  </b:Source>
  <b:Source>
    <b:Tag>Mae11</b:Tag>
    <b:SourceType>JournalArticle</b:SourceType>
    <b:Guid>{516B8BA5-727D-D24B-83B4-79AECF089F39}</b:Guid>
    <b:Author>
      <b:Author>
        <b:NameList>
          <b:Person>
            <b:Last>Maestada</b:Last>
            <b:First>O.</b:First>
          </b:Person>
          <b:Person>
            <b:Last>Mwisongob</b:Last>
            <b:First>A.</b:First>
          </b:Person>
        </b:NameList>
      </b:Author>
    </b:Author>
    <b:Title>Informal payments and the quality of health care: Mechanisms revealed by Tanzian health workers</b:Title>
    <b:Year>2011</b:Year>
    <b:Volume>99</b:Volume>
    <b:Pages>107-115</b:Pages>
    <b:JournalName>Health Policy</b:JournalName>
    <b:RefOrder>26</b:RefOrder>
  </b:Source>
  <b:Source>
    <b:Tag>Kru09</b:Tag>
    <b:SourceType>JournalArticle</b:SourceType>
    <b:Guid>{CDC2CE3A-0C8E-F742-9158-C8C6656D379F}</b:Guid>
    <b:Author>
      <b:Author>
        <b:NameList>
          <b:Person>
            <b:Last>Kruk</b:Last>
            <b:First>M.E.</b:First>
          </b:Person>
          <b:Person>
            <b:Last>Mbaruku</b:Last>
            <b:First>G.</b:First>
          </b:Person>
          <b:Person>
            <b:Last>McCord</b:Last>
            <b:First>C.W.</b:First>
          </b:Person>
          <b:Person>
            <b:Last>Moran</b:Last>
            <b:First>M.</b:First>
          </b:Person>
          <b:Person>
            <b:Last>Rockers</b:Last>
            <b:First>P.C. </b:First>
          </b:Person>
          <b:Person>
            <b:Last>Galea</b:Last>
            <b:First>S.</b:First>
          </b:Person>
        </b:NameList>
      </b:Author>
    </b:Author>
    <b:Title>Bypassing primary care facilities for childbirth: A population-based study in rural Tanzania</b:Title>
    <b:JournalName>Health Policy and Planning</b:JournalName>
    <b:Year>2009</b:Year>
    <b:Volume>24</b:Volume>
    <b:Pages>279-288</b:Pages>
    <b:RefOrder>27</b:RefOrder>
  </b:Source>
  <b:Source>
    <b:Tag>Kru08</b:Tag>
    <b:SourceType>JournalArticle</b:SourceType>
    <b:Guid>{EF535768-4D2E-1041-81E5-27B4564DD44C}</b:Guid>
    <b:Author>
      <b:Author>
        <b:NameList>
          <b:Person>
            <b:Last>Kruk</b:Last>
            <b:First>M.E.</b:First>
          </b:Person>
          <b:Person>
            <b:Last>Mbaruku</b:Last>
            <b:First>G.</b:First>
          </b:Person>
          <b:Person>
            <b:Last>Rockers</b:Last>
            <b:First>P.C.</b:First>
          </b:Person>
          <b:Person>
            <b:Last>Galea</b:Last>
            <b:First>S.</b:First>
          </b:Person>
        </b:NameList>
      </b:Author>
    </b:Author>
    <b:Title>User fee exemptions are not enough: Out-of-pocket payments for 'free' delivery services in rural Tanzania</b:Title>
    <b:JournalName>Tropical Medicine and International Health</b:JournalName>
    <b:Year>2008</b:Year>
    <b:Volume>13</b:Volume>
    <b:Issue>12</b:Issue>
    <b:Pages>1442-1451</b:Pages>
    <b:RefOrder>28</b:RefOrder>
  </b:Source>
  <b:Source>
    <b:Tag>Mak10</b:Tag>
    <b:SourceType>Report</b:SourceType>
    <b:Guid>{58A0262C-D465-AA49-9B94-E68EEBC39835}</b:Guid>
    <b:Author>
      <b:Author>
        <b:NameList>
          <b:Person>
            <b:Last>Makawia</b:Last>
            <b:First>S.</b:First>
          </b:Person>
          <b:Person>
            <b:Last>Macha</b:Last>
            <b:First>J.</b:First>
          </b:Person>
          <b:Person>
            <b:Last>Ally</b:Last>
            <b:First>M.</b:First>
          </b:Person>
          <b:Person>
            <b:Last>Borghi</b:Last>
            <b:First>J.</b:First>
          </b:Person>
        </b:NameList>
      </b:Author>
    </b:Author>
    <b:Title>An assessment of the distribution of health service benefits in Tanzania</b:Title>
    <b:Publisher>SHIELD Work Package 3 Report</b:Publisher>
    <b:City>Cape Town</b:City>
    <b:Year>2010</b:Year>
    <b:RefOrder>29</b:RefOrder>
  </b:Source>
  <b:Source>
    <b:Tag>Mal10</b:Tag>
    <b:SourceType>JournalArticle</b:SourceType>
    <b:Guid>{FB38FC80-A14C-F847-A721-42ED475F8D0C}</b:Guid>
    <b:Author>
      <b:Author>
        <b:NameList>
          <b:Person>
            <b:Last>Maluka</b:Last>
            <b:First>S.</b:First>
          </b:Person>
          <b:Person>
            <b:Last>Kamuzora</b:Last>
            <b:First>P.</b:First>
          </b:Person>
          <b:Person>
            <b:Last>San Sebastian</b:Last>
            <b:First>M.</b:First>
          </b:Person>
          <b:Person>
            <b:Last>Byskov</b:Last>
            <b:First>J.</b:First>
          </b:Person>
          <b:Person>
            <b:Last>Olsen</b:Last>
            <b:First>O.E.</b:First>
          </b:Person>
          <b:Person>
            <b:Last>Shayo</b:Last>
            <b:First>E.</b:First>
          </b:Person>
          <b:Person>
            <b:Last>Ndawi</b:Last>
            <b:First>B.</b:First>
          </b:Person>
          <b:Person>
            <b:Last>Hurtig</b:Last>
            <b:First>A.K.</b:First>
          </b:Person>
        </b:NameList>
      </b:Author>
    </b:Author>
    <b:Title>Decentralized health care priority setting in Tanzania: Evaluating against the accountability for reasonableness framework</b:Title>
    <b:Year>2010</b:Year>
    <b:Pages>751-759</b:Pages>
    <b:JournalName>Social Science &amp; Medicine</b:JournalName>
    <b:Volume>71</b:Volume>
    <b:RefOrder>30</b:RefOrder>
  </b:Source>
  <b:Source>
    <b:Tag>Mal11</b:Tag>
    <b:SourceType>JournalArticle</b:SourceType>
    <b:Guid>{A8BFB60B-261F-7F42-A073-4A12E2067A88}</b:Guid>
    <b:Author>
      <b:Author>
        <b:NameList>
          <b:Person>
            <b:Last>Maluka</b:Last>
            <b:First>S.</b:First>
          </b:Person>
          <b:Person>
            <b:Last>Kamuzora</b:Last>
            <b:First>P.</b:First>
          </b:Person>
          <b:Person>
            <b:Last>San Sebastian</b:Last>
            <b:First>M.</b:First>
          </b:Person>
          <b:Person>
            <b:Last>Byskov</b:Last>
            <b:First>J.</b:First>
          </b:Person>
          <b:Person>
            <b:Last>Ndawi</b:Last>
            <b:First>B.</b:First>
          </b:Person>
          <b:Person>
            <b:Last>Olsen</b:Last>
            <b:First>O.E.</b:First>
          </b:Person>
          <b:Person>
            <b:Last>Hurtig</b:Last>
            <b:First>A.K.</b:First>
          </b:Person>
        </b:NameList>
      </b:Author>
    </b:Author>
    <b:Title>Implementing accountability for reasonablenes framework at district level in Tanzania: A realist evaluation</b:Title>
    <b:JournalName>Implementation Science</b:JournalName>
    <b:Year>2011</b:Year>
    <b:Volume>6</b:Volume>
    <b:Issue>11</b:Issue>
    <b:RefOrder>31</b:RefOrder>
  </b:Source>
  <b:Source>
    <b:Tag>Man</b:Tag>
    <b:SourceType>Report</b:SourceType>
    <b:Guid>{DDF8DE25-70B0-9D4F-95BF-B6CBF647D8D1}</b:Guid>
    <b:Title>Situation analysis of newborn health in Tanzania: Current situation, existing plans and strategic next steps for newborn health</b:Title>
    <b:Publisher>Save the Children</b:Publisher>
    <b:City>Dar es Salaam</b:City>
    <b:Author>
      <b:Author>
        <b:NameList>
          <b:Person>
            <b:Last>Manji</b:Last>
            <b:First>K.</b:First>
          </b:Person>
        </b:NameList>
      </b:Author>
    </b:Author>
    <b:Institution>Ministry of Health and Social Welfare</b:Institution>
    <b:RefOrder>32</b:RefOrder>
  </b:Source>
  <b:Source>
    <b:Tag>Mbu07</b:Tag>
    <b:SourceType>Report</b:SourceType>
    <b:Guid>{F5467C1E-2286-874F-8041-1D9D4B7B30F2}</b:Guid>
    <b:Author>
      <b:Author>
        <b:NameList>
          <b:Person>
            <b:Last>Mbuyita</b:Last>
            <b:First>S.</b:First>
          </b:Person>
          <b:Person>
            <b:Last>Makemba</b:Last>
            <b:First>A.</b:First>
          </b:Person>
        </b:NameList>
      </b:Author>
    </b:Author>
    <b:Title>Equity in health in Tanzania: Translating national goals to district realities</b:Title>
    <b:Institution>Ifakara Health Research and Development Centre</b:Institution>
    <b:Department>Tanzania with the Regional Network for Equity in Health in East and Southern Africa</b:Department>
    <b:Publisher>EQUINET DISCUSSION PAPER 54</b:Publisher>
    <b:Year>2007</b:Year>
    <b:RefOrder>14</b:RefOrder>
  </b:Source>
  <b:Source>
    <b:Tag>Min08</b:Tag>
    <b:SourceType>Report</b:SourceType>
    <b:Guid>{2189C9BE-1009-8143-BC36-8637E7117F73}</b:Guid>
    <b:Author>
      <b:Author>
        <b:Corporate>Ministry of Health and Social Welfare</b:Corporate>
      </b:Author>
    </b:Author>
    <b:Title>The national road map strategic plan to accelerate reduction of maternal, newborn and child deaths in Tanzania, 2008-2015</b:Title>
    <b:Publisher>United Republic of Tanzania</b:Publisher>
    <b:City>Dar es Salaam</b:City>
    <b:Year>2008</b:Year>
    <b:RefOrder>33</b:RefOrder>
  </b:Source>
  <b:Source>
    <b:Tag>Min09</b:Tag>
    <b:SourceType>Report</b:SourceType>
    <b:Guid>{306204C1-8150-9247-B0EC-78ADED5BBFA3}</b:Guid>
    <b:Author>
      <b:Author>
        <b:Corporate>Ministry of Health and Social Welfare</b:Corporate>
      </b:Author>
    </b:Author>
    <b:Title>Neglected tropical diseases country plan, 2009-2014</b:Title>
    <b:Publisher>The United Republic of Tanzania</b:Publisher>
    <b:City>Dar es Salaam</b:City>
    <b:Year>2009</b:Year>
    <b:RefOrder>34</b:RefOrder>
  </b:Source>
  <b:Source>
    <b:Tag>Nat11</b:Tag>
    <b:SourceType>Report</b:SourceType>
    <b:Guid>{E98E5AE1-C1EA-DB4F-AB02-D555F5D99BAA}</b:Guid>
    <b:Author>
      <b:Author>
        <b:Corporate>National Bureau of Statistics (NBC) [Tanzania] and ICF Macro</b:Corporate>
      </b:Author>
    </b:Author>
    <b:Title>Tanzania demographic and health survey 2010</b:Title>
    <b:Publisher>NBS and ICF Macro</b:Publisher>
    <b:City>Dar es Salaam</b:City>
    <b:Year>2011</b:Year>
    <b:RefOrder>35</b:RefOrder>
  </b:Source>
  <b:Source>
    <b:Tag>Ols10</b:Tag>
    <b:SourceType>JournalArticle</b:SourceType>
    <b:Guid>{352AE271-564B-4248-86AB-5BDF1D2F18DB}</b:Guid>
    <b:Title>The impact of global health initiatives on trust in health care provision under extreme resource scarcity: Presenting an agenda for debate from a case study of emergency obstetric care in Northern Tanzania</b:Title>
    <b:Year>2010</b:Year>
    <b:Author>
      <b:Author>
        <b:NameList>
          <b:Person>
            <b:Last>Olsen</b:Last>
            <b:First>O.E.</b:First>
          </b:Person>
        </b:NameList>
      </b:Author>
    </b:Author>
    <b:JournalName>Health Research Policy and Systems</b:JournalName>
    <b:Volume>8</b:Volume>
    <b:Issue>14</b:Issue>
    <b:RefOrder>36</b:RefOrder>
  </b:Source>
  <b:Source>
    <b:Tag>Ols08</b:Tag>
    <b:SourceType>JournalArticle</b:SourceType>
    <b:Guid>{1F0EA594-01EC-6B40-AC99-62FED4CCC368}</b:Guid>
    <b:Author>
      <b:Author>
        <b:NameList>
          <b:Person>
            <b:Last>Olsen</b:Last>
            <b:First>B.E.</b:First>
          </b:Person>
          <b:Person>
            <b:Last>Hinderaker</b:Last>
            <b:First>S.G.</b:First>
          </b:Person>
          <b:Person>
            <b:Last>Lie</b:Last>
            <b:First>R.T.</b:First>
          </b:Person>
          <b:Person>
            <b:Last>Gasheka</b:Last>
            <b:First>P.</b:First>
          </b:Person>
          <b:Person>
            <b:Last>Kvale</b:Last>
            <b:First>G.</b:First>
          </b:Person>
        </b:NameList>
      </b:Author>
    </b:Author>
    <b:Title>Risk factors for maternal death in the highlands of rural Northern Tanzania: A case-control study</b:Title>
    <b:JournalName>BMC Public Health</b:JournalName>
    <b:Year>2008</b:Year>
    <b:Volume>8</b:Volume>
    <b:Issue>52</b:Issue>
    <b:RefOrder>37</b:RefOrder>
  </b:Source>
  <b:Source>
    <b:Tag>Ols09</b:Tag>
    <b:SourceType>JournalArticle</b:SourceType>
    <b:Guid>{BEB57715-C369-5146-BF3B-A131D039B921}</b:Guid>
    <b:Author>
      <b:Author>
        <b:NameList>
          <b:Person>
            <b:Last>Olsen</b:Last>
            <b:First>B.E.</b:First>
          </b:Person>
          <b:Person>
            <b:Last>Olsen</b:Last>
            <b:First>O.E.</b:First>
          </b:Person>
          <b:Person>
            <b:Last>Kvale</b:Last>
            <b:First>G.</b:First>
          </b:Person>
        </b:NameList>
      </b:Author>
    </b:Author>
    <b:Title>Achieving progress in maternal and neonatal health through integrated and comprehensive healthcare services--experiences from a programme in Northern Tanzania</b:Title>
    <b:JournalName>International Journal for Equity in Health</b:JournalName>
    <b:Year>2009</b:Year>
    <b:Volume>8</b:Volume>
    <b:Issue>27</b:Issue>
    <b:RefOrder>38</b:RefOrder>
  </b:Source>
  <b:Source>
    <b:Tag>Ols05</b:Tag>
    <b:SourceType>JournalArticle</b:SourceType>
    <b:Guid>{EDF3C29E-6FEF-C641-8AA8-3108D846D44E}</b:Guid>
    <b:Author>
      <b:Author>
        <b:NameList>
          <b:Person>
            <b:Last>Olsen</b:Last>
            <b:First>O.E.</b:First>
          </b:Person>
          <b:Person>
            <b:Last>Ndeki</b:Last>
            <b:First>S.</b:First>
          </b:Person>
          <b:Person>
            <b:Last>Norheim</b:Last>
            <b:First>O.F.</b:First>
          </b:Person>
        </b:NameList>
      </b:Author>
    </b:Author>
    <b:Title>Availability, distribution and use of emergency obstetric care in Northern Tanzania</b:Title>
    <b:JournalName>Health Policy and Planning</b:JournalName>
    <b:Year>2005</b:Year>
    <b:Volume>20</b:Volume>
    <b:Issue>3</b:Issue>
    <b:Pages>167-175</b:Pages>
    <b:RefOrder>39</b:RefOrder>
  </b:Source>
  <b:Source>
    <b:Tag>Rob04</b:Tag>
    <b:SourceType>Book</b:SourceType>
    <b:Guid>{E3099BEB-F595-7742-BB78-50792B75AF86}</b:Guid>
    <b:Author>
      <b:Author>
        <b:NameList>
          <b:Person>
            <b:Last>Robinson</b:Last>
            <b:First>D.R.</b:First>
          </b:Person>
          <b:Person>
            <b:Last>Mutakyahwa</b:Last>
            <b:First>R.G.</b:First>
          </b:Person>
        </b:NameList>
      </b:Author>
    </b:Author>
    <b:Title>An introduction to the non-profit sector in Tanzania</b:Title>
    <b:Publisher>Allavida</b:Publisher>
    <b:City>London</b:City>
    <b:Year>2004</b:Year>
    <b:RefOrder>40</b:RefOrder>
  </b:Source>
  <b:Source>
    <b:Tag>Sny05</b:Tag>
    <b:SourceType>Book</b:SourceType>
    <b:Guid>{3B3703CF-FA23-DB45-B1F6-BA7BBA02AB9C}</b:Guid>
    <b:Author>
      <b:Author>
        <b:NameList>
          <b:Person>
            <b:Last>Snyder</b:Last>
            <b:First>K.A.</b:First>
          </b:Person>
        </b:NameList>
      </b:Author>
    </b:Author>
    <b:Title>The Iraqw of Tanzania: Negotiating rural development</b:Title>
    <b:Publisher>Westview Press</b:Publisher>
    <b:Year>2005</b:Year>
    <b:RefOrder>41</b:RefOrder>
  </b:Source>
  <b:Source>
    <b:Tag>Tan07</b:Tag>
    <b:SourceType>Report</b:SourceType>
    <b:Guid>{CD0A8E0C-6CA9-874F-8FA2-AAC1D0E29EC1}</b:Guid>
    <b:Author>
      <b:Author>
        <b:Corporate>Tanzania Gender Networking Program (TGNP) and Macro International Inc.</b:Corporate>
      </b:Author>
    </b:Author>
    <b:Title>Women's health in Tanzania</b:Title>
    <b:Publisher>TGNP and Macro International</b:Publisher>
    <b:City>Dar es Salaam</b:City>
    <b:Year>2007</b:Year>
    <b:RefOrder>42</b:RefOrder>
  </b:Source>
  <b:Source>
    <b:Tag>Son11</b:Tag>
    <b:SourceType>JournalArticle</b:SourceType>
    <b:Guid>{A45E7821-DD4D-F24F-BF10-BB84EB334EBD}</b:Guid>
    <b:Title>Perceived unfairness in working conditions: The case of public health services in Tanzania</b:Title>
    <b:Year>2011</b:Year>
    <b:Author>
      <b:Author>
        <b:NameList>
          <b:Person>
            <b:Last>Songstad</b:Last>
            <b:First>N.G.</b:First>
          </b:Person>
          <b:Person>
            <b:Last>Rekdal</b:Last>
            <b:First>O.B.</b:First>
          </b:Person>
          <b:Person>
            <b:Last>Massay</b:Last>
            <b:First>D.A.</b:First>
          </b:Person>
          <b:Person>
            <b:Last>Blystad</b:Last>
            <b:First>A.</b:First>
          </b:Person>
        </b:NameList>
      </b:Author>
    </b:Author>
    <b:JournalName>BMC Health Services Research</b:JournalName>
    <b:Volume>11</b:Volume>
    <b:Issue>34</b:Issue>
    <b:RefOrder>43</b:RefOrder>
  </b:Source>
  <b:Source>
    <b:Tag>Nat08</b:Tag>
    <b:SourceType>Report</b:SourceType>
    <b:Guid>{F033C111-0A5C-314E-AB5B-C96BD2B3C45A}</b:Guid>
    <b:Title>Evidence-informed policy making in the United Republic of Tanzania: Setting REACH-policy initiative priorities for 2008-2010</b:Title>
    <b:City>Dar es Salaam</b:City>
    <b:Year>2008</b:Year>
    <b:Author>
      <b:Author>
        <b:Corporate>National Institute for Medical Research</b:Corporate>
      </b:Author>
    </b:Author>
    <b:RefOrder>2</b:RefOrder>
  </b:Source>
  <b:Source>
    <b:Tag>Leo07</b:Tag>
    <b:SourceType>JournalArticle</b:SourceType>
    <b:Guid>{7DD31FA6-A118-DE44-9106-390B1F5B0501}</b:Guid>
    <b:Author>
      <b:Author>
        <b:NameList>
          <b:Person>
            <b:Last>Leonard</b:Last>
            <b:First>K.L.</b:First>
          </b:Person>
          <b:Person>
            <b:Last>Masatu</b:Last>
            <b:First>M.C.</b:First>
          </b:Person>
        </b:NameList>
      </b:Author>
    </b:Author>
    <b:Title>Variation in the quality of care accessible to rural communities in Tanzania</b:Title>
    <b:Year>2007</b:Year>
    <b:Pages>w380-w392</b:Pages>
    <b:JournalName>Health Affairs</b:JournalName>
    <b:Volume>26</b:Volume>
    <b:Issue>3</b:Issue>
    <b:RefOrder>44</b:RefOrder>
  </b:Source>
  <b:Source>
    <b:Tag>Har09</b:Tag>
    <b:SourceType>Report</b:SourceType>
    <b:Guid>{879A4E9B-39F5-5647-ABB6-7725A9EE4344}</b:Guid>
    <b:Author>
      <b:Author>
        <b:NameList>
          <b:Person>
            <b:Last>Harding</b:Last>
            <b:First>A.</b:First>
          </b:Person>
        </b:NameList>
      </b:Author>
    </b:Author>
    <b:Title>Partnerships with the private sector in health: What the international community can do to strengthen health systems in developing countries</b:Title>
    <b:Publisher>Center for Global Development</b:Publisher>
    <b:Year>2009</b:Year>
    <b:Institution>Final Report of the Private Sector Advisory Facility Working Group</b:Institution>
    <b:RefOrder>45</b:RefOrder>
  </b:Source>
  <b:Source>
    <b:Tag>Uni1</b:Tag>
    <b:SourceType>Report</b:SourceType>
    <b:Guid>{56D2B7DC-10FB-994B-A7EE-98ADAB604619}</b:Guid>
    <b:Author>
      <b:Author>
        <b:Corporate>United States Agency for International Development</b:Corporate>
      </b:Author>
    </b:Author>
    <b:Title>The ACQUIRE Tanzania project: Annual report</b:Title>
    <b:Department>Office of Population and Health</b:Department>
    <b:Publisher>USAID</b:Publisher>
    <b:City>Tanzania</b:City>
    <b:Year>2009</b:Year>
    <b:RefOrder>46</b:RefOrder>
  </b:Source>
  <b:Source>
    <b:Tag>Uni</b:Tag>
    <b:SourceType>Report</b:SourceType>
    <b:Guid>{0551B824-EFF3-4547-9B83-B6448420AF04}</b:Guid>
    <b:Title>Health Systems 20/20 Country Brief: Tanzania</b:Title>
    <b:Author>
      <b:Author>
        <b:Corporate>United States Agency for International Development</b:Corporate>
      </b:Author>
    </b:Author>
    <b:Year>2007</b:Year>
    <b:RefOrder>5</b:RefOrder>
  </b:Source>
  <b:Source>
    <b:Tag>Wor081</b:Tag>
    <b:SourceType>Report</b:SourceType>
    <b:Guid>{C35747C1-CEE3-4044-86BF-B3FABF01BE54}</b:Guid>
    <b:Author>
      <b:Author>
        <b:Corporate>World Health Organization</b:Corporate>
      </b:Author>
    </b:Author>
    <b:Title>Discussion Paper</b:Title>
    <b:Institution>International Conference on Primary Health Care and Health Systems in Africa: Towards the Achievement of the Health Millennium Development Goals</b:Institution>
    <b:Publisher>World Health Organization</b:Publisher>
    <b:City>Burkina Faso</b:City>
    <b:Year>2008</b:Year>
    <b:RefOrder>47</b:RefOrder>
  </b:Source>
  <b:Source>
    <b:Tag>Wor08</b:Tag>
    <b:SourceType>Report</b:SourceType>
    <b:Guid>{1A826CC4-D2E2-A14C-AFCC-F00AE7245DDE}</b:Guid>
    <b:Author>
      <b:Author>
        <b:Corporate>World Health Organization</b:Corporate>
      </b:Author>
    </b:Author>
    <b:Title>Summaries of Country Experiences on Primary Health Care Revitalization</b:Title>
    <b:Institution>International Conference on Primary Health Care and Health Systems in Africa: Towards the Achievement of the Health Millennium Development Goals</b:Institution>
    <b:Publisher>World Health Organization</b:Publisher>
    <b:City>Burkina Faso</b:City>
    <b:Year>2008</b:Year>
    <b:RefOrder>48</b:RefOrder>
  </b:Source>
  <b:Source>
    <b:Tag>Hys08</b:Tag>
    <b:SourceType>JournalArticle</b:SourceType>
    <b:Guid>{4CE3698A-5CA4-5D44-AE27-198E68B7CFD7}</b:Guid>
    <b:Title>Contextualising the Advocacy Coalition Framework: theorising change in Swedish forest policy</b:Title>
    <b:Year>2008</b:Year>
    <b:Pages>730-748</b:Pages>
    <b:JournalName>Environmental Politics</b:JournalName>
    <b:Volume>17</b:Volume>
    <b:Issue>5</b:Issue>
    <b:Author>
      <b:Author>
        <b:NameList>
          <b:Person>
            <b:Last>Hysing</b:Last>
            <b:First>E.</b:First>
          </b:Person>
          <b:Person>
            <b:Last>Olsson</b:Last>
            <b:First>J.</b:First>
          </b:Person>
        </b:NameList>
      </b:Author>
    </b:Author>
    <b:RefOrder>49</b:RefOrder>
  </b:Source>
  <b:Source>
    <b:Tag>Wor78</b:Tag>
    <b:SourceType>Book</b:SourceType>
    <b:Guid>{85D40770-08E5-5643-BE70-A38AA6C9A454}</b:Guid>
    <b:Author>
      <b:Author>
        <b:Corporate>World Health Organization</b:Corporate>
      </b:Author>
    </b:Author>
    <b:Year>1978</b:Year>
    <b:Title>Alma-Alta Declaration Primary Health Care</b:Title>
    <b:City>Geneva</b:City>
    <b:RefOrder>6</b:RefOrder>
  </b:Source>
  <b:Source>
    <b:Tag>WHO08</b:Tag>
    <b:SourceType>Book</b:SourceType>
    <b:Guid>{AC462399-CDA4-6146-AB9E-57AAE37AD02B}</b:Guid>
    <b:Author>
      <b:Author>
        <b:Corporate>WHO</b:Corporate>
      </b:Author>
    </b:Author>
    <b:Year>2008</b:Year>
    <b:RefOrder>7</b:RefOrder>
  </b:Source>
  <b:Source>
    <b:Tag>Dam12</b:Tag>
    <b:SourceType>Book</b:SourceType>
    <b:Guid>{3DEDCC77-75F7-544B-B4D0-AE5B29B617BB}</b:Guid>
    <b:Year>2012</b:Year>
    <b:Author>
      <b:Author>
        <b:NameList>
          <b:Person>
            <b:Last>Dambisya</b:Last>
          </b:Person>
          <b:Person>
            <b:Last>Ichoku</b:Last>
          </b:Person>
        </b:NameList>
      </b:Author>
    </b:Author>
    <b:RefOrder>8</b:RefOrder>
  </b:Source>
  <b:Source>
    <b:Tag>You86</b:Tag>
    <b:SourceType>JournalArticle</b:SourceType>
    <b:Guid>{531AA542-687F-FC41-97C4-C9E20FAAE8EF}</b:Guid>
    <b:Author>
      <b:Author>
        <b:NameList>
          <b:Person>
            <b:Last>Young</b:Last>
            <b:First>T.K.</b:First>
          </b:Person>
        </b:NameList>
      </b:Author>
    </b:Author>
    <b:Title>Socialist development and primary health care: the case of Tanzania</b:Title>
    <b:Volume>45</b:Volume>
    <b:Year>1986</b:Year>
    <b:Pages>128-134</b:Pages>
    <b:JournalName>Human Organization </b:JournalName>
    <b:Issue>2</b:Issue>
    <b:RefOrder>3</b:RefOrder>
  </b:Source>
  <b:Source>
    <b:Tag>Mun95</b:Tag>
    <b:SourceType>BookSection</b:SourceType>
    <b:Guid>{4C8D61B6-DA02-8942-B6D6-6FF1E1ED1B9F}</b:Guid>
    <b:Title>MSocial service provision in Tanzania</b:Title>
    <b:Publisher>Mkuki na Nyota Publishers</b:Publisher>
    <b:City>Dar Es Salaam</b:City>
    <b:Year>1995</b:Year>
    <b:Pages>141-152</b:Pages>
    <b:Author>
      <b:Author>
        <b:NameList>
          <b:Person>
            <b:Last>Munishi</b:Last>
            <b:First>G.K.</b:First>
          </b:Person>
        </b:NameList>
      </b:Author>
    </b:Author>
    <b:BookTitle>Semboja J &amp; Therkildsen O Service Provision under Stress in East Africa</b:BookTitle>
    <b:RefOrder>50</b:RefOrder>
  </b:Source>
  <b:Source>
    <b:Tag>The09</b:Tag>
    <b:SourceType>Report</b:SourceType>
    <b:Guid>{937DB737-67CA-D14E-928E-BAE40B656795}</b:Guid>
    <b:Title>Health Sector Strategic Plan III 2009-2015</b:Title>
    <b:City>Dar es Salaam</b:City>
    <b:Publisher>The United Republic of Tanzania</b:Publisher>
    <b:Year>2009</b:Year>
    <b:Author>
      <b:Author>
        <b:Corporate>Ministry of Health and Social Welfare</b:Corporate>
      </b:Author>
    </b:Author>
    <b:RefOrder>4</b:RefOrder>
  </b:Source>
  <b:Source>
    <b:Tag>Mac12</b:Tag>
    <b:SourceType>JournalArticle</b:SourceType>
    <b:Guid>{92F69EBD-FB4F-7B42-91C2-E7D2C65D96F3}</b:Guid>
    <b:Title>Factors influencing the burden of health care financing and the distribution of health care benefits in Ghana, Tanzania, and South Africa</b:Title>
    <b:Year>2012</b:Year>
    <b:Pages>i46-i54</b:Pages>
    <b:Author>
      <b:Author>
        <b:NameList>
          <b:Person>
            <b:Last>Macha</b:Last>
            <b:First>J.</b:First>
          </b:Person>
          <b:Person>
            <b:Last>Harris</b:Last>
            <b:First>B.</b:First>
          </b:Person>
          <b:Person>
            <b:Last>Garshong</b:Last>
            <b:First>B.</b:First>
          </b:Person>
          <b:Person>
            <b:Last>Ataguba</b:Last>
            <b:First>J.E.</b:First>
          </b:Person>
          <b:Person>
            <b:Last>Akazili</b:Last>
            <b:First>J.</b:First>
          </b:Person>
          <b:Person>
            <b:Last>Kuwawenaruwa</b:Last>
            <b:First>A.</b:First>
          </b:Person>
          <b:Person>
            <b:Last>Borghi</b:Last>
            <b:First>J.</b:First>
          </b:Person>
        </b:NameList>
      </b:Author>
    </b:Author>
    <b:JournalName>Health Policy and Planning</b:JournalName>
    <b:Volume>27</b:Volume>
    <b:RefOrder>20</b:RefOrder>
  </b:Source>
  <b:Source>
    <b:Tag>Gre02</b:Tag>
    <b:SourceType>JournalArticle</b:SourceType>
    <b:Guid>{A85BCA5D-B598-F74B-AA26-30478442EB93}</b:Guid>
    <b:Title>A shared mission? Changing relationships between government and church health services in Africa</b:Title>
    <b:JournalName>International Journal of Health Planning and Managment</b:JournalName>
    <b:Year>2002</b:Year>
    <b:Volume>17</b:Volume>
    <b:Pages>333-353</b:Pages>
    <b:Author>
      <b:Author>
        <b:NameList>
          <b:Person>
            <b:Last>Green</b:Last>
            <b:First>A.</b:First>
          </b:Person>
          <b:Person>
            <b:Last>Shaw</b:Last>
            <b:First>J.</b:First>
          </b:Person>
          <b:Person>
            <b:Last>Dimmock</b:Last>
            <b:First>F.</b:First>
          </b:Person>
          <b:Person>
            <b:Last>Conn</b:Last>
            <b:First>C.</b:First>
          </b:Person>
        </b:NameList>
      </b:Author>
    </b:Author>
    <b:RefOrder>16</b:RefOrder>
  </b:Source>
  <b:Source>
    <b:Tag>Lip11</b:Tag>
    <b:SourceType>JournalArticle</b:SourceType>
    <b:Guid>{D4DD0BF9-B530-7A40-A79A-6FA16DE0F8E2}</b:Guid>
    <b:Author>
      <b:Author>
        <b:NameList>
          <b:Person>
            <b:Last>Lipsky</b:Last>
            <b:First>A.B.</b:First>
          </b:Person>
        </b:NameList>
      </b:Author>
    </b:Author>
    <b:Title>Evaluating the strength of faith: potential comparative advantages of faith-based organzations providing health services in sub-Saharan Africa</b:Title>
    <b:JournalName>Public Administration and Development</b:JournalName>
    <b:Year>2011</b:Year>
    <b:Volume>31</b:Volume>
    <b:Pages>25-36</b:Pages>
    <b:RefOrder>17</b:RefOrder>
  </b:Source>
  <b:Source>
    <b:Tag>Ash11</b:Tag>
    <b:SourceType>Report</b:SourceType>
    <b:Guid>{2ED68CAF-B777-244C-A1CF-28F48A0BA64B}</b:Guid>
    <b:Title>Strengthening church and government partnerships for primary health care delivery in Papua New Guinea: lessons from the international experience</b:Title>
    <b:Year>2011</b:Year>
    <b:Author>
      <b:Author>
        <b:NameList>
          <b:Person>
            <b:Last>Ashcroft</b:Last>
            <b:First>J.</b:First>
          </b:Person>
          <b:Person>
            <b:Last>Sweeney</b:Last>
            <b:First>R.</b:First>
          </b:Person>
          <b:Person>
            <b:Last>Samei</b:Last>
            <b:First>M.</b:First>
          </b:Person>
          <b:Person>
            <b:Last>Semos</b:Last>
            <b:First>I.</b:First>
          </b:Person>
          <b:Person>
            <b:Last>Morgan</b:Last>
            <b:First>C.</b:First>
          </b:Person>
        </b:NameList>
      </b:Author>
    </b:Author>
    <b:Institution>Health Policy and Health Finance Knowledge HUB</b:Institution>
    <b:Department>Working Paper Series, 16</b:Department>
    <b:RefOrder>51</b:RefOrder>
  </b:Source>
  <b:Source>
    <b:Tag>Adj09</b:Tag>
    <b:SourceType>Report</b:SourceType>
    <b:Guid>{5708BB0C-5B07-C047-B5F7-15FAD6CB590A}</b:Guid>
    <b:Author>
      <b:Author>
        <b:NameList>
          <b:Person>
            <b:Last>Adjei</b:Last>
            <b:First>G.</b:First>
          </b:Person>
          <b:Person>
            <b:Last>Maniple</b:Last>
            <b:First>E.</b:First>
          </b:Person>
          <b:Person>
            <b:Last>Dokotala</b:Last>
            <b:First>D.</b:First>
          </b:Person>
          <b:Person>
            <b:Last>Kahabi</b:Last>
            <b:First>J.</b:First>
          </b:Person>
          <b:Person>
            <b:Last>Mpoza</b:Last>
            <b:First>I.</b:First>
          </b:Person>
          <b:Person>
            <b:Last>Pamba</b:Last>
            <b:First>P.</b:First>
          </b:Person>
          <b:Person>
            <b:Last>Pearl</b:Last>
            <b:First>E.</b:First>
          </b:Person>
        </b:NameList>
      </b:Author>
    </b:Author>
    <b:Title>Quest for quality: interventions to improve human resources for health among faith-based organizations</b:Title>
    <b:Institution>The Hague: Cordaid and the Royal Tropical Institute</b:Institution>
    <b:Year>2009</b:Year>
    <b:RefOrder>11</b:RefOrder>
  </b:Source>
  <b:Source>
    <b:Tag>Fos12</b:Tag>
    <b:SourceType>Report</b:SourceType>
    <b:Guid>{7317060D-93AF-1D4A-9AC7-9BE410D80FCD}</b:Guid>
    <b:Author>
      <b:Author>
        <b:NameList>
          <b:Person>
            <b:Last>Foster</b:Last>
            <b:First>N.</b:First>
          </b:Person>
        </b:NameList>
      </b:Author>
    </b:Author>
    <b:Title>Private sector involvement in health services in East and Southern Africa: country profiles</b:Title>
    <b:Institution>Discussion paper 89</b:Institution>
    <b:Department>Health Economics Unit (UCT)</b:Department>
    <b:Publisher>EQUINET</b:Publisher>
    <b:City>Harare</b:City>
    <b:Year>2012</b:Year>
    <b:RefOrder>13</b:RefOrder>
  </b:Source>
  <b:Source>
    <b:Tag>Kut01</b:Tag>
    <b:SourceType>JournalArticle</b:SourceType>
    <b:Guid>{E4372728-F557-8048-B86C-DF5C1B3CBBAA}</b:Guid>
    <b:Author>
      <b:Author>
        <b:NameList>
          <b:Person>
            <b:Last>Kutzin</b:Last>
            <b:First>J.</b:First>
          </b:Person>
        </b:NameList>
      </b:Author>
    </b:Author>
    <b:Title>A descriptive framework for country-level analysis of health care financing arrangements</b:Title>
    <b:Year>2001</b:Year>
    <b:Pages>171-204</b:Pages>
    <b:JournalName>Health Policy</b:JournalName>
    <b:Volume>56</b:Volume>
    <b:RefOrder>52</b:RefOrder>
  </b:Source>
  <b:Source>
    <b:Tag>Mte12</b:Tag>
    <b:SourceType>JournalArticle</b:SourceType>
    <b:Guid>{312C3933-6C2D-C442-8218-DA9C4473B03A}</b:Guid>
    <b:Title>Who pays and who benefits from health care? An assessment of equity in health care financing and benefit distribution in Tanzania</b:Title>
    <b:JournalName>Health Policy and Planning</b:JournalName>
    <b:Year>2012</b:Year>
    <b:Volume>27</b:Volume>
    <b:Pages>i23-i34</b:Pages>
    <b:Author>
      <b:Author>
        <b:NameList>
          <b:Person>
            <b:Last>Mtei</b:Last>
            <b:First>G.</b:First>
          </b:Person>
          <b:Person>
            <b:Last>Makawia</b:Last>
            <b:First>S.</b:First>
          </b:Person>
          <b:Person>
            <b:Last>Ally</b:Last>
            <b:First>M.</b:First>
          </b:Person>
          <b:Person>
            <b:Last>Kuwawenaruwa</b:Last>
            <b:First>A.</b:First>
          </b:Person>
          <b:Person>
            <b:Last>Meheus</b:Last>
            <b:First>F.</b:First>
          </b:Person>
          <b:Person>
            <b:Last>Borghi</b:Last>
            <b:First>J.</b:First>
          </b:Person>
        </b:NameList>
      </b:Author>
    </b:Author>
    <b:RefOrder>53</b:RefOrder>
  </b:Source>
  <b:Source>
    <b:Tag>Pri09</b:Tag>
    <b:SourceType>Report</b:SourceType>
    <b:Guid>{0A635103-2850-2A40-B99E-6230D620089D}</b:Guid>
    <b:Title>National public private partnership (PPP) policy</b:Title>
    <b:Publisher>United Republic of Tanzania</b:Publisher>
    <b:City>Dar es Salaam</b:City>
    <b:Year>2009</b:Year>
    <b:Author>
      <b:Author>
        <b:Corporate>Prime Minister's Office</b:Corporate>
      </b:Author>
    </b:Author>
    <b:RefOrder>18</b:RefOrder>
  </b:Source>
  <b:Source>
    <b:Tag>Faf08</b:Tag>
    <b:SourceType>Report</b:SourceType>
    <b:Guid>{4CB9461C-E980-964E-A3EE-C2EAC9EF9600}</b:Guid>
    <b:Author>
      <b:Author>
        <b:NameList>
          <b:Person>
            <b:Last>Fafard</b:Last>
            <b:First>P.</b:First>
          </b:Person>
        </b:NameList>
      </b:Author>
    </b:Author>
    <b:Title>Evidence and health public policy: insights from health and political sciences</b:Title>
    <b:Publisher>National Collaborating Centre for Healthy Public Policy</b:Publisher>
    <b:Year>2008</b:Year>
    <b:RefOrder>54</b:RefOrder>
  </b:Source>
  <b:Source>
    <b:Tag>Bre</b:Tag>
    <b:SourceType>JournalArticle</b:SourceType>
    <b:Guid>{95CC6439-53BB-E74C-8F67-010BB3AA9393}</b:Guid>
    <b:Title>Theories of the policy process in health promotion research: a review</b:Title>
    <b:Author>
      <b:Author>
        <b:NameList>
          <b:Person>
            <b:Last>Breton</b:Last>
            <b:First>E.</b:First>
          </b:Person>
          <b:Person>
            <b:Last>De Leeuw</b:Last>
            <b:First>E.</b:First>
          </b:Person>
        </b:NameList>
      </b:Author>
    </b:Author>
    <b:JournalName>Health Promotion International</b:JournalName>
    <b:Year>2011</b:Year>
    <b:Volume>26</b:Volume>
    <b:Issue>11</b:Issue>
    <b:Pages>82-90</b:Pages>
    <b:RefOrder>55</b:RefOrder>
  </b:Source>
  <b:Source>
    <b:Tag>Gag07</b:Tag>
    <b:SourceType>JournalArticle</b:SourceType>
    <b:Guid>{0884AEE0-FBD1-0F45-B80A-B97F67531311}</b:Guid>
    <b:Title>Healthy public policy: a conceptual cognitive framework</b:Title>
    <b:JournalName>Health Policy</b:JournalName>
    <b:Year>2007</b:Year>
    <b:Volume>81</b:Volume>
    <b:Issue>1</b:Issue>
    <b:Pages>42-55</b:Pages>
    <b:Author>
      <b:Author>
        <b:NameList>
          <b:Person>
            <b:Last>Gagnon</b:Last>
            <b:First>F.</b:First>
          </b:Person>
          <b:Person>
            <b:Last>Trugeon</b:Last>
            <b:First>J.</b:First>
          </b:Person>
          <b:Person>
            <b:Last>Dallaire</b:Last>
            <b:First>C.</b:First>
          </b:Person>
        </b:NameList>
      </b:Author>
    </b:Author>
    <b:RefOrder>56</b:RefOrder>
  </b:Source>
  <b:Source>
    <b:Tag>Bla03</b:Tag>
    <b:SourceType>Report</b:SourceType>
    <b:Guid>{0F6A2EA2-2327-D24C-BE35-45CAAF730369}</b:Guid>
    <b:Title>Organisational relationships and the 'software' of health sector reform: background paper</b:Title>
    <b:Publisher>University of the Witwatersrand</b:Publisher>
    <b:Year>2003</b:Year>
    <b:Institution>Centre for Health Policy </b:Institution>
    <b:Department>School of Public Health</b:Department>
    <b:Author>
      <b:Author>
        <b:NameList>
          <b:Person>
            <b:Last>Blaauw</b:Last>
            <b:First>D.</b:First>
          </b:Person>
          <b:Person>
            <b:Last>Gilson</b:Last>
            <b:First>L.</b:First>
          </b:Person>
          <b:Person>
            <b:Last>Penn-Kekana</b:Last>
            <b:First>L.</b:First>
          </b:Person>
          <b:Person>
            <b:Last>Schneider</b:Last>
            <b:First>H.</b:First>
          </b:Person>
        </b:NameList>
      </b:Author>
    </b:Author>
    <b:RefOrder>57</b:RefOrder>
  </b:Source>
  <b:Source>
    <b:Tag>Nat07</b:Tag>
    <b:SourceType>Report</b:SourceType>
    <b:Guid>{81E091CD-46BF-3944-AA44-8802A5326ACA}</b:Guid>
    <b:Author>
      <b:Author>
        <b:Corporate>National Bureau of Statistics (NBS) [Tanzania] and Macro International Inc.</b:Corporate>
      </b:Author>
    </b:Author>
    <b:Title>Tanzania service provision assessment survey 2006</b:Title>
    <b:Publisher>National Bureau of Statistics and Macro International</b:Publisher>
    <b:City>Dar es Salaam</b:City>
    <b:Year>2007</b:Year>
    <b:RefOrder>9</b:RefOrder>
  </b:Source>
  <b:Source>
    <b:Tag>The111</b:Tag>
    <b:SourceType>InternetSite</b:SourceType>
    <b:Guid>{FA993E7D-F328-7347-9DD9-52D8C6577795}</b:Guid>
    <b:Title>Health Facilities </b:Title>
    <b:Year>2011</b:Year>
    <b:Author>
      <b:Author>
        <b:Corporate>The United Republic of Tanzania</b:Corporate>
      </b:Author>
    </b:Author>
    <b:InternetSiteTitle>Ministry of Health and Social Welfare</b:InternetSiteTitle>
    <b:URL>http://www.tanzania.go.tz/ministriesf.html</b:URL>
    <b:Month>July</b:Month>
    <b:YearAccessed>2012</b:YearAccessed>
    <b:MonthAccessed>05</b:MonthAccessed>
    <b:DayAccessed>01</b:DayAccessed>
    <b:RefOrder>12</b:RefOrder>
  </b:Source>
  <b:Source>
    <b:Tag>Pre11</b:Tag>
    <b:SourceType>Report</b:SourceType>
    <b:Guid>{D51654F4-81C9-DC4B-87D1-DD9290C56D46}</b:Guid>
    <b:Author>
      <b:Author>
        <b:Corporate>President's Office Public Service Management</b:Corporate>
      </b:Author>
    </b:Author>
    <b:Title>The functions and orgnisation structure of the Ministry of Health and Social Welfare</b:Title>
    <b:Year>2011</b:Year>
    <b:Publisher>Ministry of Health and Social Welfare</b:Publisher>
    <b:City>Dar es Salaam</b:City>
    <b:RefOrder>19</b:RefOrder>
  </b:Source>
  <b:Source>
    <b:Tag>Gil</b:Tag>
    <b:SourceType>JournalArticle</b:SourceType>
    <b:Guid>{F861E75F-9F3E-BC4B-AD1D-2B1806932373}</b:Guid>
    <b:Title>Using stakeholder analysis to support moves towards universal coverage: lessons from the SHIELD project</b:Title>
    <b:Author>
      <b:Author>
        <b:NameList>
          <b:Person>
            <b:Last>Gilson</b:Last>
            <b:First>L.</b:First>
          </b:Person>
          <b:Person>
            <b:Last>Erasmus</b:Last>
            <b:First>E.</b:First>
          </b:Person>
          <b:Person>
            <b:Last>Borghi</b:Last>
            <b:First>J.</b:First>
          </b:Person>
          <b:Person>
            <b:Last>Macha</b:Last>
            <b:First>J.</b:First>
          </b:Person>
          <b:Person>
            <b:Last>Kamuzora</b:Last>
            <b:First>P.</b:First>
          </b:Person>
          <b:Person>
            <b:Last>Mtei</b:Last>
            <b:First>G.</b:First>
          </b:Person>
        </b:NameList>
      </b:Author>
    </b:Author>
    <b:JournalName>Health Policy and Planning</b:JournalName>
    <b:Year>2012</b:Year>
    <b:Volume>27</b:Volume>
    <b:Pages>i64-i76</b:Pages>
    <b:RefOrder>58</b:RefOrder>
  </b:Source>
  <b:Source>
    <b:Tag>The11</b:Tag>
    <b:SourceType>Report</b:SourceType>
    <b:Guid>{10696BC5-CCDC-6A48-9629-28DA36C90D7C}</b:Guid>
    <b:Title>The Third WRATZ Annual General Meeting</b:Title>
    <b:Publisher>Report at Heritage Cottage</b:Publisher>
    <b:City>Songea Ruvuma</b:City>
    <b:Year>2011</b:Year>
    <b:Author>
      <b:Author>
        <b:NameList>
          <b:Person>
            <b:Last>NA</b:Last>
          </b:Person>
        </b:NameList>
      </b:Author>
    </b:Author>
    <b:RefOrder>59</b:RefOrder>
  </b:Source>
  <b:Source>
    <b:Tag>Dis07</b:Tag>
    <b:SourceType>Report</b:SourceType>
    <b:Guid>{5C26FF88-ED3E-734E-8C26-4D4EC4CACE99}</b:Guid>
    <b:Author>
      <b:Author>
        <b:Corporate>Disease Control Priorities Project</b:Corporate>
      </b:Author>
    </b:Author>
    <b:Title>Primary health care: key to delivering cost-effective interventions</b:Title>
    <b:Year>2007</b:Year>
    <b:Institution>Fogarty International Center of the U.S., National Institutes of Health, The World Bank, World Health Organization, Population Reference Bureau, and the Bill &amp; Melinda Gates Foundation</b:Institution>
    <b:RefOrder>10</b:RefOrder>
  </b:Source>
  <b:Source>
    <b:Tag>Sem03</b:Tag>
    <b:SourceType>Report</b:SourceType>
    <b:Guid>{86EC9EDE-F8E6-E54E-905D-D3BE7311D4CE}</b:Guid>
    <b:Author>
      <b:Author>
        <b:NameList>
          <b:Person>
            <b:Last>Semali</b:Last>
            <b:First>I.A.J.</b:First>
          </b:Person>
        </b:NameList>
      </b:Author>
    </b:Author>
    <b:Title>Understanding stakeholders’ roles in health sector reform process in Tanzania: the case of decentralizing the immunization program</b:Title>
    <b:Department>University of Basel</b:Department>
    <b:City>Moshi</b:City>
    <b:Year>2003</b:Year>
    <b:RefOrder>60</b:RefOrder>
  </b:Source>
  <b:Source>
    <b:Tag>Goe07</b:Tag>
    <b:SourceType>Report</b:SourceType>
    <b:Guid>{54E826E1-5BFE-684A-BB29-CDC0BD3C97C1}</b:Guid>
    <b:Title>Core module 1: health sector reforms and district health system</b:Title>
    <b:City>Da es Salaam</b:City>
    <b:Publisher>The Ministry of Health and Social Welfare Tanzania (MOHSW)</b:Publisher>
    <b:Year>2007</b:Year>
    <b:Author>
      <b:Author>
        <b:NameList>
          <b:Person>
            <b:Last>Goergen</b:Last>
            <b:First>H.</b:First>
          </b:Person>
          <b:Person>
            <b:Last>Hingora</b:Last>
            <b:First>A.</b:First>
          </b:Person>
          <b:Person>
            <b:Last>Mazali</b:Last>
            <b:First>D.</b:First>
          </b:Person>
          <b:Person>
            <b:Last>Prytherch</b:Last>
            <b:First>H.</b:First>
          </b:Person>
          <b:Person>
            <b:Last>Sulul</b:Last>
            <b:First>A.O.</b:First>
          </b:Person>
        </b:NameList>
      </b:Author>
    </b:Author>
    <b:RefOrder>61</b:RefOrder>
  </b:Source>
  <b:Source>
    <b:Tag>Sab93</b:Tag>
    <b:SourceType>BookSection</b:SourceType>
    <b:Guid>{3AFDFDEC-89C2-DF4A-BDB8-1E53710522B9}</b:Guid>
    <b:Year>2007</b:Year>
    <b:Author>
      <b:Author>
        <b:NameList>
          <b:Person>
            <b:Last>Sabatier</b:Last>
            <b:First>P.A.</b:First>
          </b:Person>
          <b:Person>
            <b:Last>C.M.</b:Last>
            <b:First>Weible</b:First>
          </b:Person>
        </b:NameList>
      </b:Author>
      <b:BookAuthor>
        <b:NameList>
          <b:Person>
            <b:Last>Sabatier</b:Last>
            <b:First>P.A.</b:First>
          </b:Person>
        </b:NameList>
      </b:BookAuthor>
    </b:Author>
    <b:Title>The Advocacy Coalition Framework</b:Title>
    <b:City>Boulder</b:City>
    <b:Publisher>Westview Press</b:Publisher>
    <b:Pages>189-220</b:Pages>
    <b:BookTitle>Theories of the Policy Process</b:BookTitle>
    <b:RefOrder>62</b:RefOrder>
  </b:Source>
  <b:Source>
    <b:Tag>CSS</b:Tag>
    <b:SourceType>InternetSite</b:SourceType>
    <b:Guid>{874FC511-75D5-1145-862F-A7085A846108}</b:Guid>
    <b:Title>CSSC</b:Title>
    <b:RefOrder>63</b:RefOrder>
  </b:Source>
  <b:Source>
    <b:Tag>APH</b:Tag>
    <b:SourceType>InternetSite</b:SourceType>
    <b:Guid>{23F1B05F-9AEB-DA48-932A-A90DD98AD298}</b:Guid>
    <b:Title>APHFTA</b:Title>
    <b:RefOrder>64</b:RefOrder>
  </b:Source>
  <b:Source>
    <b:Tag>Wor</b:Tag>
    <b:SourceType>Report</b:SourceType>
    <b:Guid>{4546AD27-8BCF-034F-83EA-C2AAFFDEA16D}</b:Guid>
    <b:Title>World Bank development indicators</b:Title>
    <b:Author>
      <b:Author>
        <b:Corporate>World Bank</b:Corporate>
      </b:Author>
    </b:Author>
    <b:Year>2009</b:Year>
    <b:RefOrder>1</b:RefOrder>
  </b:Source>
  <b:Source>
    <b:Tag>Mar07</b:Tag>
    <b:SourceType>Book</b:SourceType>
    <b:Guid>{E175C64A-1324-4148-9D7A-E1723D94F635}</b:Guid>
    <b:Year>2007</b:Year>
    <b:Author>
      <b:Author>
        <b:NameList>
          <b:Person>
            <b:Last>Marrone</b:Last>
          </b:Person>
        </b:NameList>
      </b:Author>
    </b:Author>
    <b:RefOrder>65</b:RefOrder>
  </b:Source>
  <b:Source>
    <b:Tag>Son12</b:Tag>
    <b:SourceType>JournalArticle</b:SourceType>
    <b:Guid>{1FC2AD9A-3019-C449-BB94-EDC98AE3E6E9}</b:Guid>
    <b:Title>Why do health workers in rural Tanzania prefer public sector employment?</b:Title>
    <b:Year>2012</b:Year>
    <b:Volume>12</b:Volume>
    <b:Author>
      <b:Author>
        <b:NameList>
          <b:Person>
            <b:Last>Songstad</b:Last>
            <b:First>N.G.</b:First>
          </b:Person>
          <b:Person>
            <b:Last>Moland</b:Last>
            <b:First>K.M.</b:First>
          </b:Person>
          <b:Person>
            <b:Last>Massay</b:Last>
            <b:First>D.A.</b:First>
          </b:Person>
          <b:Person>
            <b:Last>Blystad</b:Last>
            <b:First>A.</b:First>
          </b:Person>
        </b:NameList>
      </b:Author>
    </b:Author>
    <b:JournalName>BMC Health Services Research</b:JournalName>
    <b:Issue>92</b:Issue>
    <b:RefOrder>66</b:RefOrder>
  </b:Source>
  <b:Source>
    <b:Tag>USA12</b:Tag>
    <b:SourceType>InternetSite</b:SourceType>
    <b:Guid>{1317AC71-393E-3247-BD12-EF5410AA34BE}</b:Guid>
    <b:Title>Health Systems 20/20 Data Analysis</b:Title>
    <b:Year>2012</b:Year>
    <b:Author>
      <b:Author>
        <b:Corporate>USAID</b:Corporate>
      </b:Author>
    </b:Author>
    <b:URL>http://healthsystems2020.healthsystemsdatabase.org/datasets/timeseriesdataset.aspx</b:URL>
    <b:YearAccessed>2012</b:YearAccessed>
    <b:MonthAccessed>May</b:MonthAccessed>
    <b:DayAccessed>2012</b:DayAccessed>
    <b:RefOrder>21</b:RefOrder>
  </b:Source>
  <b:Source>
    <b:Tag>Bis09</b:Tag>
    <b:SourceType>ArticleInAPeriodical</b:SourceType>
    <b:Guid>{E54E85C9-64D3-B943-B45B-D330FA9D6DD5}</b:Guid>
    <b:Title>Revitalizing primary health care and family medicine/primary care in India – disruptive innovation?</b:Title>
    <b:PeriodicalTitle>Journal of Evaluation in Clinical Practice</b:PeriodicalTitle>
    <b:Year>2009</b:Year>
    <b:Volume>15</b:Volume>
    <b:Pages>873-880</b:Pages>
    <b:Author>
      <b:Author>
        <b:NameList>
          <b:Person>
            <b:Last>Biswas</b:Last>
            <b:First>R.</b:First>
          </b:Person>
          <b:Person>
            <b:Last>Joshi</b:Last>
            <b:First>A.</b:First>
          </b:Person>
          <b:Person>
            <b:Last>Joshi</b:Last>
            <b:First>R.</b:First>
          </b:Person>
          <b:Person>
            <b:Last>Kaufman</b:Last>
            <b:First>T.</b:First>
          </b:Person>
          <b:Person>
            <b:Last>Peterson</b:Last>
            <b:First>C.</b:First>
          </b:Person>
          <b:Person>
            <b:Last>Sturmberg</b:Last>
            <b:First>J.P.</b:First>
          </b:Person>
          <b:Person>
            <b:Last>Maitra</b:Last>
            <b:First>A.</b:First>
          </b:Person>
          <b:Person>
            <b:Last>Martin</b:Last>
            <b:First>C.M.</b:First>
          </b:Person>
        </b:NameList>
      </b:Author>
    </b:Author>
    <b:RefOrder>67</b:RefOrder>
  </b:Source>
  <b:Source>
    <b:Tag>Hum08</b:Tag>
    <b:SourceType>Report</b:SourceType>
    <b:Guid>{7E8ABD4A-506C-834B-AA54-B62B250D8410}</b:Guid>
    <b:Title>Primary health care in rural and remote Australia: achieving equity of access and outcomes through national reform: a discussion paper. </b:Title>
    <b:Publisher>onash University School of Rural Health, Bendigo &amp; Centre for Remote Health</b:Publisher>
    <b:City>Canberra</b:City>
    <b:Year>1008</b:Year>
    <b:Author>
      <b:Author>
        <b:NameList>
          <b:Person>
            <b:Last>Humphreys</b:Last>
            <b:First>J.</b:First>
          </b:Person>
          <b:Person>
            <b:Last>Wakerman</b:Last>
            <b:First>J.</b:First>
          </b:Person>
        </b:NameList>
      </b:Author>
    </b:Author>
    <b:Institution>Centre of Flinders University and Charles Darwin University, Alice Springs</b:Institution>
    <b:RefOrder>68</b:RefOrder>
  </b:Source>
  <b:Source>
    <b:Tag>Atk05</b:Tag>
    <b:SourceType>JournalArticle</b:SourceType>
    <b:Guid>{DEA487F0-B909-2F43-8C3E-F49CDC250DB2}</b:Guid>
    <b:Title>Prevention and promotion in decentralized rural health systems: a comparative study from northeast Brazil.</b:Title>
    <b:Year>2005</b:Year>
    <b:Pages>60-79</b:Pages>
    <b:Author>
      <b:Author>
        <b:NameList>
          <b:Person>
            <b:Last>Atkinson</b:Last>
            <b:First>S.</b:First>
          </b:Person>
          <b:Person>
            <b:Last>Fernandes</b:Last>
            <b:First>L.</b:First>
          </b:Person>
          <b:Person>
            <b:Last>Carpara</b:Last>
            <b:First>A.</b:First>
          </b:Person>
          <b:Person>
            <b:Last>Gideon</b:Last>
            <b:First>J.</b:First>
          </b:Person>
        </b:NameList>
      </b:Author>
    </b:Author>
    <b:JournalName>Health Policy and Planning</b:JournalName>
    <b:Volume>20</b:Volume>
    <b:Issue>2</b:Issue>
    <b:RefOrder>69</b:RefOrder>
  </b:Source>
  <b:Source>
    <b:Tag>Rid10</b:Tag>
    <b:SourceType>JournalArticle</b:SourceType>
    <b:Guid>{6DCAC5F6-E9FE-FE40-AB36-93513D96A869}</b:Guid>
    <b:Author>
      <b:Author>
        <b:NameList>
          <b:Person>
            <b:Last>Ridde</b:Last>
            <b:First>V.</b:First>
          </b:Person>
          <b:Person>
            <b:Last>Morestin</b:Last>
            <b:First>F.</b:First>
          </b:Person>
        </b:NameList>
      </b:Author>
    </b:Author>
    <b:Title>A scoping review of the literature on the abolition of user fees in health care services in Africa</b:Title>
    <b:JournalName>Health Policy and Planning</b:JournalName>
    <b:Year>2010</b:Year>
    <b:Volume>26</b:Volume>
    <b:Pages>1-11</b:Pages>
    <b:RefOrder>70</b:RefOrder>
  </b:Source>
  <b:Source>
    <b:Tag>Mee11</b:Tag>
    <b:SourceType>JournalArticle</b:SourceType>
    <b:Guid>{81EBA5E6-46E4-7341-A278-4152D9FD968A}</b:Guid>
    <b:Author>
      <b:Author>
        <b:NameList>
          <b:Person>
            <b:Last>Meessen</b:Last>
            <b:First>B.</b:First>
          </b:Person>
          <b:Person>
            <b:Last>Hercot</b:Last>
            <b:First>D.</b:First>
          </b:Person>
          <b:Person>
            <b:Last>Noirhomme</b:Last>
            <b:First>M.</b:First>
          </b:Person>
          <b:Person>
            <b:Last>Ridde</b:Last>
            <b:First>V.</b:First>
          </b:Person>
          <b:Person>
            <b:Last>Tibouti</b:Last>
            <b:First>A.</b:First>
          </b:Person>
          <b:Person>
            <b:Last>Tashobya</b:Last>
            <b:First>C.K.</b:First>
          </b:Person>
          <b:Person>
            <b:Last>Gilson</b:Last>
            <b:First>L.</b:First>
          </b:Person>
        </b:NameList>
      </b:Author>
    </b:Author>
    <b:Title>Removing user fees in the health sector: A review of policy processes in six sub-Saharn African countries</b:Title>
    <b:JournalName>Health Policy and Planning</b:JournalName>
    <b:Year>2011</b:Year>
    <b:Volume>26</b:Volume>
    <b:Pages>ii16-ii29</b:Pages>
    <b:RefOrder>71</b:RefOrder>
  </b:Source>
  <b:Source>
    <b:Tag>Liu08</b:Tag>
    <b:SourceType>JournalArticle</b:SourceType>
    <b:Guid>{2DD5D495-7B91-234C-B31F-E4DA8C2F697C}</b:Guid>
    <b:Title>The effectiveness of contracting-out primary health care services in developing countries: a review of the evidence</b:Title>
    <b:Year>2008</b:Year>
    <b:Volume>21</b:Volume>
    <b:Pages>1-13</b:Pages>
    <b:Author>
      <b:Author>
        <b:NameList>
          <b:Person>
            <b:Last>Liu</b:Last>
            <b:First>X.</b:First>
          </b:Person>
          <b:Person>
            <b:Last>Hotchkiss</b:Last>
            <b:First>D.R.</b:First>
          </b:Person>
          <b:Person>
            <b:Last>Bose</b:Last>
            <b:First>S.</b:First>
          </b:Person>
        </b:NameList>
      </b:Author>
    </b:Author>
    <b:JournalName>Health Policy and Planning</b:JournalName>
    <b:RefOrder>72</b:RefOrder>
  </b:Source>
  <b:Source>
    <b:Tag>Bra98</b:Tag>
    <b:SourceType>Report</b:SourceType>
    <b:Guid>{73AD63B6-6C5C-6C4E-89BB-FED6813BE555}</b:Guid>
    <b:Title>Monitoring equity in health: A policy-oriented approach in low- and middle-income countries</b:Title>
    <b:City>Geneva</b:City>
    <b:Year>1998</b:Year>
    <b:Author>
      <b:Author>
        <b:NameList>
          <b:Person>
            <b:Last>Bravement</b:Last>
            <b:First>P.</b:First>
          </b:Person>
        </b:NameList>
      </b:Author>
    </b:Author>
    <b:Institution>World Health Organization</b:Institution>
    <b:RefOrder>73</b:RefOrder>
  </b:Source>
  <b:Source>
    <b:Tag>Hea06</b:Tag>
    <b:SourceType>Report</b:SourceType>
    <b:Guid>{058F2FD4-F95B-D340-90DD-E5BED5802173}</b:Guid>
    <b:Title>TECHNICAL REVIEW 2006 District Health Services Delivery in Tanzania Where are we in terms of quantity and quality of health care provision? FINAL REPORT</b:Title>
    <b:Year>2006</b:Year>
    <b:Author>
      <b:Author>
        <b:Corporate>Health Research for Action</b:Corporate>
      </b:Author>
    </b:Author>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81956A-B566-DA45-A482-60E05142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13282</Words>
  <Characters>75709</Characters>
  <Application>Microsoft Macintosh Word</Application>
  <DocSecurity>0</DocSecurity>
  <Lines>630</Lines>
  <Paragraphs>177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Evaluating equity in the provision of primary health care in Tanzania </vt:lpstr>
      <vt:lpstr/>
      <vt:lpstr>Introduction </vt:lpstr>
      <vt:lpstr>Background on Tanzania’s Health System</vt:lpstr>
      <vt:lpstr>    Health Policy</vt:lpstr>
      <vt:lpstr>    Health System Structure</vt:lpstr>
      <vt:lpstr>Primary Health Care: A Review of the Literature</vt:lpstr>
      <vt:lpstr>    Equity</vt:lpstr>
      <vt:lpstr>    Primary Health Care in Other Countries</vt:lpstr>
      <vt:lpstr/>
      <vt:lpstr>Methods</vt:lpstr>
      <vt:lpstr>Analysis</vt:lpstr>
      <vt:lpstr>    Main Players</vt:lpstr>
      <vt:lpstr>        Government</vt:lpstr>
      <vt:lpstr>        Faith-Based Organizations</vt:lpstr>
      <vt:lpstr>        Private Sector</vt:lpstr>
      <vt:lpstr>    Tanzania’s Health Care System </vt:lpstr>
      <vt:lpstr>        Decentralization</vt:lpstr>
      <vt:lpstr>        User Fees </vt:lpstr>
      <vt:lpstr>        Service Provision—Contracting Out Services</vt:lpstr>
      <vt:lpstr>        Service Provision—Access </vt:lpstr>
      <vt:lpstr>    Changes in Health Status</vt:lpstr>
      <vt:lpstr>        Comparison to Other Sub-Saharan African Countries</vt:lpstr>
      <vt:lpstr>        Additional Limitations</vt:lpstr>
      <vt:lpstr>Conclusion- Lessons learned from Tanzania</vt:lpstr>
      <vt:lpstr>Works Cited</vt:lpstr>
      <vt:lpstr/>
      <vt:lpstr>Appendices</vt:lpstr>
      <vt:lpstr>    Appendix 1- Number of Health Facilities by Type and Provider (2006</vt:lpstr>
      <vt:lpstr>    Appendix 2- Timeline of PHC Policy</vt:lpstr>
      <vt:lpstr>    Appendix 3- Comparison of Select Tanzanian Health Indicators to Other Sub-Sahara</vt:lpstr>
    </vt:vector>
  </TitlesOfParts>
  <Company/>
  <LinksUpToDate>false</LinksUpToDate>
  <CharactersWithSpaces>88814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equity in the provision of primary health care in Tanzania </dc:title>
  <dc:subject/>
  <dc:creator>Breannon Babbel</dc:creator>
  <cp:keywords/>
  <dc:description/>
  <cp:lastModifiedBy>Breannon Babbel</cp:lastModifiedBy>
  <cp:revision>4</cp:revision>
  <cp:lastPrinted>2012-08-16T18:43:00Z</cp:lastPrinted>
  <dcterms:created xsi:type="dcterms:W3CDTF">2012-08-18T23:26:00Z</dcterms:created>
  <dcterms:modified xsi:type="dcterms:W3CDTF">2012-08-25T20:17:00Z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